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40"/>
        <w:jc w:val="center"/>
        <w:rPr/>
      </w:pPr>
      <w:r>
        <w:rPr>
          <w:b/>
          <w:bCs/>
          <w:color w:val="1F3A5F"/>
          <w:sz w:val="28"/>
          <w:szCs w:val="28"/>
        </w:rPr>
        <w:t>SOFTLINE</w:t>
      </w:r>
    </w:p>
    <w:p>
      <w:pPr>
        <w:pStyle w:val="Heading1"/>
        <w:jc w:val="center"/>
        <w:rPr/>
      </w:pPr>
      <w:bookmarkStart w:id="0" w:name="__RefHeading___Toc891_1339762769"/>
      <w:bookmarkEnd w:id="0"/>
      <w:r>
        <w:rPr/>
        <w:t>Politique de confidentialité et de protection des données</w:t>
      </w:r>
    </w:p>
    <w:p>
      <w:pPr>
        <w:pStyle w:val="Normal"/>
        <w:spacing w:before="0" w:after="40"/>
        <w:jc w:val="center"/>
        <w:rPr/>
      </w:pPr>
      <w:r>
        <w:rPr>
          <w:i/>
          <w:iCs/>
          <w:color w:val="595959"/>
        </w:rPr>
        <w:t>RGPD — Règlement (UE) 2016/679 &amp; loi Informatique et Libertés</w:t>
      </w:r>
    </w:p>
    <w:p>
      <w:pPr>
        <w:pStyle w:val="Normal"/>
        <w:spacing w:before="0" w:after="40"/>
        <w:jc w:val="center"/>
        <w:rPr/>
      </w:pPr>
      <w:r>
        <w:rPr>
          <w:sz w:val="20"/>
          <w:szCs w:val="20"/>
        </w:rPr>
        <w:t>Site : softline-ia.fr</w:t>
      </w:r>
    </w:p>
    <w:p>
      <w:pPr>
        <w:pStyle w:val="Normal"/>
        <w:spacing w:before="0" w:after="240"/>
        <w:jc w:val="center"/>
        <w:rPr/>
      </w:pPr>
      <w:r>
        <w:rPr>
          <w:color w:val="595959"/>
          <w:sz w:val="18"/>
          <w:szCs w:val="18"/>
        </w:rPr>
        <w:t>v1.</w:t>
      </w:r>
      <w:r>
        <w:rPr>
          <w:color w:val="595959"/>
          <w:sz w:val="18"/>
          <w:szCs w:val="18"/>
        </w:rPr>
        <w:t>4</w:t>
      </w:r>
      <w:r>
        <w:rPr>
          <w:color w:val="595959"/>
          <w:sz w:val="18"/>
          <w:szCs w:val="18"/>
        </w:rPr>
        <w:t xml:space="preserve">  — Dernière mise à jour : 15 juin 2026</w:t>
      </w:r>
    </w:p>
    <w:p>
      <w:pPr>
        <w:pStyle w:val="Normal"/>
        <w:pBdr>
          <w:bottom w:val="single" w:sz="12" w:space="1" w:color="1F3A5F"/>
        </w:pBdr>
        <w:spacing w:before="0" w:after="240"/>
        <w:rPr/>
      </w:pPr>
      <w:r>
        <w:rPr/>
      </w:r>
    </w:p>
    <w:p>
      <w:pPr>
        <w:pStyle w:val="Heading2"/>
        <w:rPr/>
      </w:pPr>
      <w:bookmarkStart w:id="1" w:name="__RefHeading___Toc893_1339762769"/>
      <w:bookmarkEnd w:id="1"/>
      <w:r>
        <w:rPr/>
        <w:t>Sommaire</w:t>
      </w:r>
    </w:p>
    <w:sdt>
      <w:sdtPr>
        <w:docPartObj>
          <w:docPartGallery w:val="Table of Contents"/>
          <w:docPartUnique w:val="true"/>
        </w:docPartObj>
      </w:sdtPr>
      <w:sdtContent>
        <w:p>
          <w:pPr>
            <w:pStyle w:val="TOC1"/>
            <w:rPr/>
          </w:pPr>
          <w:r>
            <w:fldChar w:fldCharType="begin"/>
          </w:r>
          <w:r>
            <w:rPr>
              <w:rStyle w:val="Sautdindex"/>
            </w:rPr>
            <w:instrText xml:space="preserve"> TOC \o "1-2" \h</w:instrText>
          </w:r>
          <w:r>
            <w:rPr>
              <w:rStyle w:val="Sautdindex"/>
            </w:rPr>
            <w:fldChar w:fldCharType="separate"/>
          </w:r>
          <w:hyperlink w:anchor="__RefHeading___Toc891_1339762769">
            <w:r>
              <w:rPr>
                <w:rStyle w:val="Sautdindex"/>
              </w:rPr>
              <w:t>Politique de confidentialité et de protection des données</w:t>
              <w:tab/>
              <w:t>1</w:t>
            </w:r>
          </w:hyperlink>
        </w:p>
        <w:p>
          <w:pPr>
            <w:pStyle w:val="TOC2"/>
            <w:tabs>
              <w:tab w:val="clear" w:pos="8743"/>
              <w:tab w:val="right" w:pos="9026" w:leader="dot"/>
            </w:tabs>
            <w:rPr/>
          </w:pPr>
          <w:hyperlink w:anchor="__RefHeading___Toc893_1339762769">
            <w:r>
              <w:rPr>
                <w:rStyle w:val="Sautdindex"/>
              </w:rPr>
              <w:t>Sommaire</w:t>
              <w:tab/>
              <w:t>1</w:t>
            </w:r>
          </w:hyperlink>
        </w:p>
        <w:p>
          <w:pPr>
            <w:pStyle w:val="TOC2"/>
            <w:tabs>
              <w:tab w:val="clear" w:pos="8743"/>
              <w:tab w:val="right" w:pos="9026" w:leader="dot"/>
            </w:tabs>
            <w:rPr/>
          </w:pPr>
          <w:hyperlink w:anchor="__RefHeading___Toc895_1339762769">
            <w:r>
              <w:rPr>
                <w:rStyle w:val="Sautdindex"/>
              </w:rPr>
              <w:t>Article 1 — Objet et architecture des traitements</w:t>
              <w:tab/>
              <w:t>2</w:t>
            </w:r>
          </w:hyperlink>
        </w:p>
        <w:p>
          <w:pPr>
            <w:pStyle w:val="TOC2"/>
            <w:tabs>
              <w:tab w:val="clear" w:pos="8743"/>
              <w:tab w:val="right" w:pos="9026" w:leader="dot"/>
            </w:tabs>
            <w:rPr/>
          </w:pPr>
          <w:hyperlink w:anchor="__RefHeading___Toc897_1339762769">
            <w:r>
              <w:rPr>
                <w:rStyle w:val="Sautdindex"/>
              </w:rPr>
              <w:t>Article 2 — Identité et coordonnées du responsable de traitement</w:t>
              <w:tab/>
              <w:t>2</w:t>
            </w:r>
          </w:hyperlink>
        </w:p>
        <w:p>
          <w:pPr>
            <w:pStyle w:val="TOC2"/>
            <w:tabs>
              <w:tab w:val="clear" w:pos="8743"/>
              <w:tab w:val="right" w:pos="9026" w:leader="dot"/>
            </w:tabs>
            <w:rPr/>
          </w:pPr>
          <w:hyperlink w:anchor="__RefHeading___Toc899_1339762769">
            <w:r>
              <w:rPr>
                <w:rStyle w:val="Sautdindex"/>
              </w:rPr>
              <w:t>Article 3 — Données collectées</w:t>
              <w:tab/>
              <w:t>2</w:t>
            </w:r>
          </w:hyperlink>
        </w:p>
        <w:p>
          <w:pPr>
            <w:pStyle w:val="TOC2"/>
            <w:tabs>
              <w:tab w:val="clear" w:pos="8743"/>
              <w:tab w:val="right" w:pos="9026" w:leader="dot"/>
            </w:tabs>
            <w:rPr/>
          </w:pPr>
          <w:hyperlink w:anchor="__RefHeading___Toc901_1339762769">
            <w:r>
              <w:rPr>
                <w:rStyle w:val="Sautdindex"/>
              </w:rPr>
              <w:t>Article 4 — Finalités et bases légales</w:t>
              <w:tab/>
              <w:t>3</w:t>
            </w:r>
          </w:hyperlink>
        </w:p>
        <w:p>
          <w:pPr>
            <w:pStyle w:val="TOC2"/>
            <w:tabs>
              <w:tab w:val="clear" w:pos="8743"/>
              <w:tab w:val="right" w:pos="9026" w:leader="dot"/>
            </w:tabs>
            <w:rPr/>
          </w:pPr>
          <w:hyperlink w:anchor="__RefHeading___Toc903_1339762769">
            <w:r>
              <w:rPr>
                <w:rStyle w:val="Sautdindex"/>
              </w:rPr>
              <w:t>Article 5 — Information des Appelants et transparence IA</w:t>
              <w:tab/>
              <w:t>3</w:t>
            </w:r>
          </w:hyperlink>
        </w:p>
        <w:p>
          <w:pPr>
            <w:pStyle w:val="TOC2"/>
            <w:tabs>
              <w:tab w:val="clear" w:pos="8743"/>
              <w:tab w:val="right" w:pos="9026" w:leader="dot"/>
            </w:tabs>
            <w:rPr/>
          </w:pPr>
          <w:hyperlink w:anchor="__RefHeading___Toc905_1339762769">
            <w:r>
              <w:rPr>
                <w:rStyle w:val="Sautdindex"/>
              </w:rPr>
              <w:t>Article 6 — Destinataires et sous-traitants</w:t>
              <w:tab/>
              <w:t>3</w:t>
            </w:r>
          </w:hyperlink>
        </w:p>
        <w:p>
          <w:pPr>
            <w:pStyle w:val="TOC2"/>
            <w:tabs>
              <w:tab w:val="clear" w:pos="8743"/>
              <w:tab w:val="right" w:pos="9026" w:leader="dot"/>
            </w:tabs>
            <w:rPr/>
          </w:pPr>
          <w:hyperlink w:anchor="__RefHeading___Toc907_1339762769">
            <w:r>
              <w:rPr>
                <w:rStyle w:val="Sautdindex"/>
              </w:rPr>
              <w:t>Article 7 — Transferts hors Union européenne</w:t>
              <w:tab/>
              <w:t>4</w:t>
            </w:r>
          </w:hyperlink>
        </w:p>
        <w:p>
          <w:pPr>
            <w:pStyle w:val="TOC2"/>
            <w:tabs>
              <w:tab w:val="clear" w:pos="8743"/>
              <w:tab w:val="right" w:pos="9026" w:leader="dot"/>
            </w:tabs>
            <w:rPr/>
          </w:pPr>
          <w:hyperlink w:anchor="__RefHeading___Toc909_1339762769">
            <w:r>
              <w:rPr>
                <w:rStyle w:val="Sautdindex"/>
              </w:rPr>
              <w:t>Article 8 — Durées de conservation</w:t>
              <w:tab/>
              <w:t>4</w:t>
            </w:r>
          </w:hyperlink>
        </w:p>
        <w:p>
          <w:pPr>
            <w:pStyle w:val="TOC2"/>
            <w:tabs>
              <w:tab w:val="clear" w:pos="8743"/>
              <w:tab w:val="right" w:pos="9026" w:leader="dot"/>
            </w:tabs>
            <w:rPr/>
          </w:pPr>
          <w:hyperlink w:anchor="__RefHeading___Toc911_1339762769">
            <w:r>
              <w:rPr>
                <w:rStyle w:val="Sautdindex"/>
              </w:rPr>
              <w:t>Article 9 — Sécurité</w:t>
              <w:tab/>
              <w:t>4</w:t>
            </w:r>
          </w:hyperlink>
        </w:p>
        <w:p>
          <w:pPr>
            <w:pStyle w:val="TOC2"/>
            <w:tabs>
              <w:tab w:val="clear" w:pos="8743"/>
              <w:tab w:val="right" w:pos="9026" w:leader="dot"/>
            </w:tabs>
            <w:rPr/>
          </w:pPr>
          <w:hyperlink w:anchor="__RefHeading___Toc913_1339762769">
            <w:r>
              <w:rPr>
                <w:rStyle w:val="Sautdindex"/>
              </w:rPr>
              <w:t>Article 10 — Droits des personnes concernées</w:t>
              <w:tab/>
              <w:t>4</w:t>
            </w:r>
          </w:hyperlink>
        </w:p>
        <w:p>
          <w:pPr>
            <w:pStyle w:val="TOC2"/>
            <w:tabs>
              <w:tab w:val="clear" w:pos="8743"/>
              <w:tab w:val="right" w:pos="9026" w:leader="dot"/>
            </w:tabs>
            <w:rPr/>
          </w:pPr>
          <w:hyperlink w:anchor="__RefHeading___Toc915_1339762769">
            <w:r>
              <w:rPr>
                <w:rStyle w:val="Sautdindex"/>
              </w:rPr>
              <w:t>Article 11 — Exercice des droits</w:t>
              <w:tab/>
              <w:t>4</w:t>
            </w:r>
          </w:hyperlink>
        </w:p>
        <w:p>
          <w:pPr>
            <w:pStyle w:val="TOC2"/>
            <w:tabs>
              <w:tab w:val="clear" w:pos="8743"/>
              <w:tab w:val="right" w:pos="9026" w:leader="dot"/>
            </w:tabs>
            <w:rPr/>
          </w:pPr>
          <w:hyperlink w:anchor="__RefHeading___Toc917_1339762769">
            <w:r>
              <w:rPr>
                <w:rStyle w:val="Sautdindex"/>
              </w:rPr>
              <w:t>Article 12 — Réclamation auprès de la CNIL</w:t>
              <w:tab/>
              <w:t>5</w:t>
            </w:r>
          </w:hyperlink>
        </w:p>
        <w:p>
          <w:pPr>
            <w:pStyle w:val="TOC2"/>
            <w:tabs>
              <w:tab w:val="clear" w:pos="8743"/>
              <w:tab w:val="right" w:pos="9026" w:leader="dot"/>
            </w:tabs>
            <w:rPr/>
          </w:pPr>
          <w:hyperlink w:anchor="__RefHeading___Toc919_1339762769">
            <w:r>
              <w:rPr>
                <w:rStyle w:val="Sautdindex"/>
              </w:rPr>
              <w:t>Article 13 — Délégué à la protection des données (DPO)</w:t>
              <w:tab/>
              <w:t>5</w:t>
            </w:r>
          </w:hyperlink>
        </w:p>
        <w:p>
          <w:pPr>
            <w:pStyle w:val="TOC2"/>
            <w:tabs>
              <w:tab w:val="clear" w:pos="8743"/>
              <w:tab w:val="right" w:pos="9026" w:leader="dot"/>
            </w:tabs>
            <w:rPr/>
          </w:pPr>
          <w:hyperlink w:anchor="__RefHeading___Toc921_1339762769">
            <w:r>
              <w:rPr>
                <w:rStyle w:val="Sautdindex"/>
              </w:rPr>
              <w:t>Article 14 — Modification de la politique</w:t>
              <w:tab/>
              <w:t>5</w:t>
            </w:r>
          </w:hyperlink>
          <w:r>
            <w:rPr>
              <w:rStyle w:val="Sautdindex"/>
            </w:rPr>
            <w:fldChar w:fldCharType="end"/>
          </w:r>
        </w:p>
      </w:sdtContent>
    </w:sdt>
    <w:p>
      <w:pPr>
        <w:pStyle w:val="Normal"/>
        <w:rPr/>
      </w:pPr>
      <w:r>
        <w:rPr/>
      </w:r>
    </w:p>
    <w:p>
      <w:pPr>
        <w:pStyle w:val="Normal"/>
        <w:spacing w:before="0" w:after="200"/>
        <w:rPr/>
      </w:pPr>
      <w:r>
        <w:rPr>
          <w:i/>
          <w:iCs/>
          <w:color w:val="808080"/>
          <w:sz w:val="18"/>
          <w:szCs w:val="18"/>
        </w:rPr>
        <w:t>(Dans Word : clic droit sur le sommaire → « Mettre à jour les champs » pour afficher les numéros de page.)</w:t>
      </w:r>
    </w:p>
    <w:p>
      <w:pPr>
        <w:pStyle w:val="Normal"/>
        <w:rPr/>
      </w:pPr>
      <w:r>
        <w:rPr/>
      </w:r>
      <w:r>
        <w:br w:type="page"/>
      </w:r>
    </w:p>
    <w:p>
      <w:pPr>
        <w:pStyle w:val="Heading2"/>
        <w:spacing w:before="0" w:after="120"/>
        <w:rPr/>
      </w:pPr>
      <w:bookmarkStart w:id="2" w:name="__RefHeading___Toc895_1339762769"/>
      <w:bookmarkEnd w:id="2"/>
      <w:r>
        <w:rPr/>
        <w:t>Article 1 — Objet et architecture des traitements</w:t>
      </w:r>
    </w:p>
    <w:p>
      <w:pPr>
        <w:pStyle w:val="Normal"/>
        <w:spacing w:lineRule="exact" w:line="276" w:before="0" w:after="120"/>
        <w:jc w:val="both"/>
        <w:rPr/>
      </w:pPr>
      <w:r>
        <w:rPr/>
        <w:t>La présente politique décrit la manière dont SoftLine traite les données à caractère personnel dans le cadre de son service d'assistant téléphonique IA. SoftLine intervient sous deux qualités distinctes, qu'il convient de bien distinguer :</w:t>
      </w:r>
    </w:p>
    <w:p>
      <w:pPr>
        <w:pStyle w:val="ListParagraph"/>
        <w:numPr>
          <w:ilvl w:val="0"/>
          <w:numId w:val="3"/>
        </w:numPr>
        <w:spacing w:before="0" w:after="60"/>
        <w:jc w:val="both"/>
        <w:rPr/>
      </w:pPr>
      <w:r>
        <w:rPr>
          <w:b/>
          <w:bCs/>
        </w:rPr>
        <w:t xml:space="preserve">En tant que responsable de traitement : </w:t>
      </w:r>
      <w:r>
        <w:rPr/>
        <w:t>pour les données de ses propres clients professionnels et des visiteurs du Site (gestion de la relation commerciale, facturation, support, prospection).</w:t>
      </w:r>
    </w:p>
    <w:p>
      <w:pPr>
        <w:pStyle w:val="ListParagraph"/>
        <w:numPr>
          <w:ilvl w:val="0"/>
          <w:numId w:val="1"/>
        </w:numPr>
        <w:spacing w:before="0" w:after="60"/>
        <w:jc w:val="both"/>
        <w:rPr/>
      </w:pPr>
      <w:r>
        <w:rPr>
          <w:b/>
          <w:bCs/>
        </w:rPr>
        <w:t xml:space="preserve">En tant que sous-traitant (article 28 du RGPD) : </w:t>
      </w:r>
      <w:r>
        <w:rPr/>
        <w:t>pour les données des Appelants traitées par l'Agent pour le compte et sur instruction de chaque Client professionnel, lequel est le responsable de traitement de ces données. Ces traitements sont encadrés par un Contrat de sous-traitance (DPA) distinct.</w:t>
      </w:r>
    </w:p>
    <w:p>
      <w:pPr>
        <w:pStyle w:val="Normal"/>
        <w:spacing w:lineRule="exact" w:line="276" w:before="0" w:after="120"/>
        <w:jc w:val="both"/>
        <w:rPr/>
      </w:pPr>
      <w:r>
        <w:rPr/>
        <w:t>La présente politique porte principalement sur les traitements dont SoftLine est responsable. Pour les traitements réalisés pour le compte des Clients, il convient de se reporter au DPA et à la politique de confidentialité de chaque Client.</w:t>
      </w:r>
    </w:p>
    <w:p>
      <w:pPr>
        <w:pStyle w:val="Normal"/>
        <w:spacing w:before="0" w:after="160"/>
        <w:rPr/>
      </w:pPr>
      <w:r>
        <w:rPr>
          <w:i/>
          <w:iCs/>
          <w:color w:val="595959"/>
          <w:sz w:val="18"/>
          <w:szCs w:val="18"/>
        </w:rPr>
        <w:t>Référence : Règlement (UE) 2016/679, articles 4 (7) et 4 (8), 28 ; loi n° 78-17 du 6 janvier 1978 modifiée.</w:t>
      </w:r>
    </w:p>
    <w:p>
      <w:pPr>
        <w:pStyle w:val="Heading2"/>
        <w:rPr/>
      </w:pPr>
      <w:bookmarkStart w:id="3" w:name="__RefHeading___Toc897_1339762769"/>
      <w:bookmarkEnd w:id="3"/>
      <w:r>
        <w:rPr/>
        <w:t>Article 2 — Identité et coordonnées du responsable de traitement</w:t>
      </w:r>
    </w:p>
    <w:p>
      <w:pPr>
        <w:pStyle w:val="Normal"/>
        <w:spacing w:lineRule="exact" w:line="276" w:before="0" w:after="120"/>
        <w:jc w:val="both"/>
        <w:rPr/>
      </w:pPr>
      <w:r>
        <w:rPr>
          <w:b/>
          <w:bCs/>
        </w:rPr>
        <w:t xml:space="preserve">Responsable de traitement : </w:t>
      </w:r>
      <w:r>
        <w:rPr>
          <w:b/>
          <w:bCs/>
          <w:color w:val="C00000"/>
        </w:rPr>
        <w:t>[À COMPLÉTER : dénomination SoftLine, forme juridique, SIRET]</w:t>
      </w:r>
    </w:p>
    <w:p>
      <w:pPr>
        <w:pStyle w:val="Normal"/>
        <w:spacing w:lineRule="exact" w:line="276" w:before="0" w:after="120"/>
        <w:jc w:val="both"/>
        <w:rPr/>
      </w:pPr>
      <w:r>
        <w:rPr>
          <w:b/>
          <w:bCs/>
        </w:rPr>
        <w:t xml:space="preserve">Adresse : </w:t>
      </w:r>
      <w:r>
        <w:rPr>
          <w:b/>
          <w:bCs/>
          <w:color w:val="C00000"/>
        </w:rPr>
        <w:t>[À COMPLÉTER : adresse complète]</w:t>
      </w:r>
    </w:p>
    <w:p>
      <w:pPr>
        <w:pStyle w:val="Normal"/>
        <w:spacing w:lineRule="exact" w:line="276" w:before="0" w:after="120"/>
        <w:jc w:val="both"/>
        <w:rPr/>
      </w:pPr>
      <w:r>
        <w:rPr>
          <w:b/>
          <w:bCs/>
        </w:rPr>
        <w:t xml:space="preserve">Contact pour toute question relative aux données : </w:t>
      </w:r>
      <w:r>
        <w:rPr/>
        <w:t>contact@softline-ia.fr</w:t>
      </w:r>
    </w:p>
    <w:p>
      <w:pPr>
        <w:pStyle w:val="Heading2"/>
        <w:rPr/>
      </w:pPr>
      <w:bookmarkStart w:id="4" w:name="__RefHeading___Toc899_1339762769"/>
      <w:bookmarkEnd w:id="4"/>
      <w:r>
        <w:rPr/>
        <w:t>Article 3 — Données collectées</w:t>
      </w:r>
    </w:p>
    <w:p>
      <w:pPr>
        <w:pStyle w:val="Heading3"/>
        <w:rPr/>
      </w:pPr>
      <w:r>
        <w:rPr/>
        <w:t>3.1 Données des Clients professionnels (SoftLine responsable)</w:t>
      </w:r>
    </w:p>
    <w:p>
      <w:pPr>
        <w:pStyle w:val="Normal"/>
        <w:spacing w:lineRule="exact" w:line="276" w:before="0" w:after="120"/>
        <w:jc w:val="both"/>
        <w:rPr/>
      </w:pPr>
      <w:r>
        <w:rPr/>
        <w:t>Nom et prénom du représentant, raison sociale, adresse e-mail, numéro de téléphone, SIRET, adresse, données de facturation et de paiement (traitées par Stripe).</w:t>
      </w:r>
    </w:p>
    <w:p>
      <w:pPr>
        <w:pStyle w:val="Heading3"/>
        <w:rPr/>
      </w:pPr>
      <w:r>
        <w:rPr/>
        <w:t>3.2 Données des Appelants (SoftLine sous-traitant pour le compte du Client)</w:t>
      </w:r>
    </w:p>
    <w:p>
      <w:pPr>
        <w:pStyle w:val="Normal"/>
        <w:spacing w:lineRule="exact" w:line="276" w:before="0" w:after="120"/>
        <w:jc w:val="both"/>
        <w:rPr/>
      </w:pPr>
      <w:r>
        <w:rPr/>
        <w:t>Données fournies oralement ou techniquement lors d'un appel : nom et prénom communiqués, numéro de l'appelant, motif de l'appel, adresse ou coordonnées éventuellement fournies, créneau de rendez-vous souhaité.</w:t>
      </w:r>
    </w:p>
    <w:p>
      <w:pPr>
        <w:pStyle w:val="Heading3"/>
        <w:rPr/>
      </w:pPr>
      <w:r>
        <w:rPr/>
        <w:t>3.3 Métadonnées techniques</w:t>
      </w:r>
    </w:p>
    <w:p>
      <w:pPr>
        <w:pStyle w:val="Normal"/>
        <w:spacing w:lineRule="exact" w:line="276" w:before="0" w:after="120"/>
        <w:jc w:val="both"/>
        <w:rPr/>
      </w:pPr>
      <w:r>
        <w:rPr/>
        <w:t>Durée de l'appel, horodatage, identifiants techniques de session (notamment identifiant Twilio), informations de connexion.</w:t>
      </w:r>
    </w:p>
    <w:p>
      <w:pPr>
        <w:pStyle w:val="Heading3"/>
        <w:rPr/>
      </w:pPr>
      <w:r>
        <w:rPr/>
        <w:t>3.4 Transcriptions</w:t>
      </w:r>
    </w:p>
    <w:p>
      <w:pPr>
        <w:pStyle w:val="Normal"/>
        <w:spacing w:lineRule="exact" w:line="276" w:before="0" w:after="120"/>
        <w:jc w:val="both"/>
        <w:rPr/>
      </w:pPr>
      <w:r>
        <w:rPr>
          <w:b/>
          <w:bCs/>
        </w:rPr>
        <w:t xml:space="preserve">Aucun enregistrement audio n'est conservé. </w:t>
      </w:r>
      <w:r>
        <w:rPr/>
        <w:t>Le Service repose sur une transcription textuelle des échanges, nécessaire à la restitution structurée au Client. Cette transcription peut contenir des données personnelles communiquées par l'Appelant.</w:t>
      </w:r>
    </w:p>
    <w:p>
      <w:pPr>
        <w:pStyle w:val="Heading3"/>
        <w:rPr/>
      </w:pPr>
      <w:r>
        <w:rPr/>
        <w:t>3.5 Données du Site</w:t>
      </w:r>
    </w:p>
    <w:p>
      <w:pPr>
        <w:pStyle w:val="Normal"/>
        <w:spacing w:lineRule="exact" w:line="276" w:before="0" w:after="120"/>
        <w:jc w:val="both"/>
        <w:rPr/>
      </w:pPr>
      <w:r>
        <w:rPr/>
        <w:t>Données de navigation strictement nécessaires au fonctionnement du Site (voir la Politique cookies).</w:t>
      </w:r>
    </w:p>
    <w:p>
      <w:pPr>
        <w:pStyle w:val="Normal"/>
        <w:spacing w:before="0" w:after="160"/>
        <w:rPr/>
      </w:pPr>
      <w:r>
        <w:rPr>
          <w:i/>
          <w:iCs/>
          <w:color w:val="595959"/>
          <w:sz w:val="18"/>
          <w:szCs w:val="18"/>
        </w:rPr>
        <w:t>Référence : Règlement (UE) 2016/679, articles 4, 13 et 14.</w:t>
      </w:r>
    </w:p>
    <w:p>
      <w:pPr>
        <w:pStyle w:val="Heading2"/>
        <w:rPr/>
      </w:pPr>
      <w:bookmarkStart w:id="5" w:name="__RefHeading___Toc901_1339762769"/>
      <w:bookmarkEnd w:id="5"/>
      <w:r>
        <w:rPr/>
        <w:t>Article 4 — Finalités et bases légales</w:t>
      </w:r>
    </w:p>
    <w:p>
      <w:pPr>
        <w:pStyle w:val="Normal"/>
        <w:spacing w:lineRule="exact" w:line="276" w:before="0" w:after="120"/>
        <w:jc w:val="both"/>
        <w:rPr/>
      </w:pPr>
      <w:r>
        <w:rPr/>
        <w:t>Les traitements dont SoftLine est responsable reposent sur les bases légales suivantes :</w:t>
      </w:r>
    </w:p>
    <w:p>
      <w:pPr>
        <w:pStyle w:val="ListParagraph"/>
        <w:numPr>
          <w:ilvl w:val="0"/>
          <w:numId w:val="1"/>
        </w:numPr>
        <w:spacing w:before="0" w:after="60"/>
        <w:jc w:val="both"/>
        <w:rPr/>
      </w:pPr>
      <w:r>
        <w:rPr>
          <w:b/>
          <w:bCs/>
        </w:rPr>
        <w:t xml:space="preserve">Fourniture et gestion du Service, gestion du compte Client : </w:t>
      </w:r>
      <w:r>
        <w:rPr/>
        <w:t>exécution du contrat (art. 6.1.b).</w:t>
      </w:r>
    </w:p>
    <w:p>
      <w:pPr>
        <w:pStyle w:val="ListParagraph"/>
        <w:numPr>
          <w:ilvl w:val="0"/>
          <w:numId w:val="1"/>
        </w:numPr>
        <w:spacing w:before="0" w:after="60"/>
        <w:jc w:val="both"/>
        <w:rPr/>
      </w:pPr>
      <w:r>
        <w:rPr>
          <w:b/>
          <w:bCs/>
        </w:rPr>
        <w:t xml:space="preserve">Facturation et obligations comptables : </w:t>
      </w:r>
      <w:r>
        <w:rPr/>
        <w:t>obligation légale (art. 6.1.c).</w:t>
      </w:r>
    </w:p>
    <w:p>
      <w:pPr>
        <w:pStyle w:val="ListParagraph"/>
        <w:numPr>
          <w:ilvl w:val="0"/>
          <w:numId w:val="1"/>
        </w:numPr>
        <w:spacing w:before="0" w:after="60"/>
        <w:jc w:val="both"/>
        <w:rPr/>
      </w:pPr>
      <w:r>
        <w:rPr>
          <w:b/>
          <w:bCs/>
        </w:rPr>
        <w:t xml:space="preserve">Support et amélioration du Service : </w:t>
      </w:r>
      <w:r>
        <w:rPr/>
        <w:t>intérêt légitime (art. 6.1.f), dans le respect des droits des personnes.</w:t>
      </w:r>
    </w:p>
    <w:p>
      <w:pPr>
        <w:pStyle w:val="ListParagraph"/>
        <w:numPr>
          <w:ilvl w:val="0"/>
          <w:numId w:val="1"/>
        </w:numPr>
        <w:spacing w:before="0" w:after="60"/>
        <w:jc w:val="both"/>
        <w:rPr/>
      </w:pPr>
      <w:r>
        <w:rPr>
          <w:b/>
          <w:bCs/>
        </w:rPr>
        <w:t xml:space="preserve">Prospection commerciale auprès de professionnels : </w:t>
      </w:r>
      <w:r>
        <w:rPr/>
        <w:t>intérêt légitime, avec droit d'opposition à tout moment.</w:t>
      </w:r>
    </w:p>
    <w:p>
      <w:pPr>
        <w:pStyle w:val="Normal"/>
        <w:spacing w:lineRule="exact" w:line="276" w:before="0" w:after="120"/>
        <w:jc w:val="both"/>
        <w:rPr/>
      </w:pPr>
      <w:r>
        <w:rPr/>
        <w:t>S'agissant des données des Appelants, la base légale et l'information des personnes relèvent du Client responsable de traitement ; SoftLine agit sur ses seules instructions documentées.</w:t>
      </w:r>
    </w:p>
    <w:p>
      <w:pPr>
        <w:pStyle w:val="Normal"/>
        <w:spacing w:before="0" w:after="160"/>
        <w:rPr/>
      </w:pPr>
      <w:r>
        <w:rPr>
          <w:i/>
          <w:iCs/>
          <w:color w:val="595959"/>
          <w:sz w:val="18"/>
          <w:szCs w:val="18"/>
        </w:rPr>
        <w:t>Référence : Règlement (UE) 2016/679, article 6.</w:t>
      </w:r>
    </w:p>
    <w:p>
      <w:pPr>
        <w:pStyle w:val="Heading2"/>
        <w:rPr/>
      </w:pPr>
      <w:bookmarkStart w:id="6" w:name="__RefHeading___Toc903_1339762769"/>
      <w:bookmarkEnd w:id="6"/>
      <w:r>
        <w:rPr/>
        <w:t>Article 5 — Information des Appelants et transparence IA</w:t>
      </w:r>
    </w:p>
    <w:p>
      <w:pPr>
        <w:pStyle w:val="Normal"/>
        <w:spacing w:lineRule="exact" w:line="276" w:before="0" w:after="120"/>
        <w:jc w:val="both"/>
        <w:rPr/>
      </w:pPr>
      <w:r>
        <w:rPr/>
        <w:t>Dès le début de chaque appel, l'Agent informe l'Appelant qu'il s'adresse à un assistant automatisé reposant sur l'intelligence artificielle, conformément à l'article 50 du Règlement IA. L'Appelant est informé que ses propos font l'objet d'une transcription et peut demander à être mis en relation avec une personne physique lorsque cette option est activée par le Client.</w:t>
      </w:r>
    </w:p>
    <w:p>
      <w:pPr>
        <w:pStyle w:val="Normal"/>
        <w:spacing w:lineRule="exact" w:line="276" w:before="0" w:after="120"/>
        <w:jc w:val="both"/>
        <w:rPr/>
      </w:pPr>
      <w:r>
        <w:rPr/>
        <w:t xml:space="preserve">Mention type fournie au Client (à valider) : </w:t>
      </w:r>
      <w:r>
        <w:rPr>
          <w:i/>
          <w:iCs/>
        </w:rPr>
        <w:t>« Bonjour, vous êtes en relation avec l'assistant automatisé de [nom du Client]. Cet échange est transcrit pour le traitement de votre demande. »</w:t>
      </w:r>
    </w:p>
    <w:p>
      <w:pPr>
        <w:pStyle w:val="Normal"/>
        <w:spacing w:lineRule="exact" w:line="276" w:before="0" w:after="120"/>
        <w:jc w:val="both"/>
        <w:rPr/>
      </w:pPr>
      <w:r>
        <w:rPr/>
        <w:t>L'information complète des Appelants relevant du responsable de traitement, il appartient au Client de relayer les mentions d'information requises par les articles 13 et 14 du RGPD.</w:t>
      </w:r>
    </w:p>
    <w:p>
      <w:pPr>
        <w:pStyle w:val="Normal"/>
        <w:spacing w:before="0" w:after="160"/>
        <w:rPr/>
      </w:pPr>
      <w:r>
        <w:rPr>
          <w:i/>
          <w:iCs/>
          <w:color w:val="595959"/>
          <w:sz w:val="18"/>
          <w:szCs w:val="18"/>
        </w:rPr>
        <w:t>Référence : Règlement (UE) 2024/1689, article 50 ; Règlement (UE) 2016/679, articles 13 et 14.</w:t>
      </w:r>
    </w:p>
    <w:p>
      <w:pPr>
        <w:pStyle w:val="Heading2"/>
        <w:rPr/>
      </w:pPr>
      <w:bookmarkStart w:id="7" w:name="__RefHeading___Toc905_1339762769"/>
      <w:bookmarkEnd w:id="7"/>
      <w:r>
        <w:rPr/>
        <w:t>Article 6 — Destinataires et sous-traitants</w:t>
      </w:r>
    </w:p>
    <w:p>
      <w:pPr>
        <w:pStyle w:val="Normal"/>
        <w:spacing w:lineRule="exact" w:line="276" w:before="0" w:after="120"/>
        <w:jc w:val="both"/>
        <w:rPr/>
      </w:pPr>
      <w:r>
        <w:rPr/>
        <w:t>Les données sont accessibles aux seules personnes habilitées de SoftLine et aux sous-traitants techniques strictement nécessaires au fonctionnement du Service :</w:t>
      </w:r>
    </w:p>
    <w:tbl>
      <w:tblPr>
        <w:tblW w:w="9026" w:type="dxa"/>
        <w:jc w:val="left"/>
        <w:tblInd w:w="0" w:type="dxa"/>
        <w:tblLayout w:type="fixed"/>
        <w:tblCellMar>
          <w:top w:w="80" w:type="dxa"/>
          <w:left w:w="120" w:type="dxa"/>
          <w:bottom w:w="80" w:type="dxa"/>
          <w:right w:w="120" w:type="dxa"/>
        </w:tblCellMar>
      </w:tblPr>
      <w:tblGrid>
        <w:gridCol w:w="2400"/>
        <w:gridCol w:w="3500"/>
        <w:gridCol w:w="3126"/>
      </w:tblGrid>
      <w:tr>
        <w:trPr>
          <w:tblHeader w:val="true"/>
        </w:trPr>
        <w:tc>
          <w:tcPr>
            <w:tcW w:w="2400" w:type="dxa"/>
            <w:tcBorders>
              <w:top w:val="single" w:sz="2" w:space="0" w:color="BFBFBF"/>
              <w:left w:val="single" w:sz="2" w:space="0" w:color="BFBFBF"/>
              <w:bottom w:val="single" w:sz="2" w:space="0" w:color="BFBFBF"/>
              <w:right w:val="single" w:sz="2" w:space="0" w:color="BFBFBF"/>
            </w:tcBorders>
            <w:shd w:fill="1F3A5F" w:val="clear"/>
          </w:tcPr>
          <w:p>
            <w:pPr>
              <w:pStyle w:val="Normal"/>
              <w:rPr/>
            </w:pPr>
            <w:r>
              <w:rPr>
                <w:b/>
                <w:bCs/>
                <w:color w:val="FFFFFF"/>
                <w:sz w:val="20"/>
                <w:szCs w:val="20"/>
              </w:rPr>
              <w:t>Sous-traitant</w:t>
            </w:r>
          </w:p>
        </w:tc>
        <w:tc>
          <w:tcPr>
            <w:tcW w:w="3500" w:type="dxa"/>
            <w:tcBorders>
              <w:top w:val="single" w:sz="2" w:space="0" w:color="BFBFBF"/>
              <w:left w:val="single" w:sz="2" w:space="0" w:color="BFBFBF"/>
              <w:bottom w:val="single" w:sz="2" w:space="0" w:color="BFBFBF"/>
              <w:right w:val="single" w:sz="2" w:space="0" w:color="BFBFBF"/>
            </w:tcBorders>
            <w:shd w:fill="1F3A5F" w:val="clear"/>
          </w:tcPr>
          <w:p>
            <w:pPr>
              <w:pStyle w:val="Normal"/>
              <w:rPr/>
            </w:pPr>
            <w:r>
              <w:rPr>
                <w:b/>
                <w:bCs/>
                <w:color w:val="FFFFFF"/>
                <w:sz w:val="20"/>
                <w:szCs w:val="20"/>
              </w:rPr>
              <w:t>Rôle</w:t>
            </w:r>
          </w:p>
        </w:tc>
        <w:tc>
          <w:tcPr>
            <w:tcW w:w="3126" w:type="dxa"/>
            <w:tcBorders>
              <w:top w:val="single" w:sz="2" w:space="0" w:color="BFBFBF"/>
              <w:left w:val="single" w:sz="2" w:space="0" w:color="BFBFBF"/>
              <w:bottom w:val="single" w:sz="2" w:space="0" w:color="BFBFBF"/>
              <w:right w:val="single" w:sz="2" w:space="0" w:color="BFBFBF"/>
            </w:tcBorders>
            <w:shd w:fill="1F3A5F" w:val="clear"/>
          </w:tcPr>
          <w:p>
            <w:pPr>
              <w:pStyle w:val="Normal"/>
              <w:rPr/>
            </w:pPr>
            <w:r>
              <w:rPr>
                <w:b/>
                <w:bCs/>
                <w:color w:val="FFFFFF"/>
                <w:sz w:val="20"/>
                <w:szCs w:val="20"/>
              </w:rPr>
              <w:t>Localisation / encadrement</w:t>
            </w:r>
          </w:p>
        </w:tc>
      </w:tr>
      <w:tr>
        <w:trPr/>
        <w:tc>
          <w:tcPr>
            <w:tcW w:w="24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Retell AI</w:t>
            </w:r>
          </w:p>
        </w:tc>
        <w:tc>
          <w:tcPr>
            <w:tcW w:w="35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Agent vocal IA</w:t>
            </w:r>
          </w:p>
        </w:tc>
        <w:tc>
          <w:tcPr>
            <w:tcW w:w="31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États-Unis — CCT (à confirmer)</w:t>
            </w:r>
          </w:p>
        </w:tc>
      </w:tr>
      <w:tr>
        <w:trPr/>
        <w:tc>
          <w:tcPr>
            <w:tcW w:w="24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Twilio</w:t>
            </w:r>
          </w:p>
        </w:tc>
        <w:tc>
          <w:tcPr>
            <w:tcW w:w="35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Téléphonie / SIP</w:t>
            </w:r>
          </w:p>
        </w:tc>
        <w:tc>
          <w:tcPr>
            <w:tcW w:w="31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États-Unis / UE — CCT, DPF (à confirmer)</w:t>
            </w:r>
          </w:p>
        </w:tc>
      </w:tr>
      <w:tr>
        <w:trPr/>
        <w:tc>
          <w:tcPr>
            <w:tcW w:w="24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Stripe</w:t>
            </w:r>
          </w:p>
        </w:tc>
        <w:tc>
          <w:tcPr>
            <w:tcW w:w="35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Paiements</w:t>
            </w:r>
          </w:p>
        </w:tc>
        <w:tc>
          <w:tcPr>
            <w:tcW w:w="31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États-Unis / UE — CCT, DPF (à confirmer)</w:t>
            </w:r>
          </w:p>
        </w:tc>
      </w:tr>
      <w:tr>
        <w:trPr/>
        <w:tc>
          <w:tcPr>
            <w:tcW w:w="24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Google</w:t>
            </w:r>
          </w:p>
        </w:tc>
        <w:tc>
          <w:tcPr>
            <w:tcW w:w="35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Agenda / messagerie (Calendar, Gmail)</w:t>
            </w:r>
          </w:p>
        </w:tc>
        <w:tc>
          <w:tcPr>
            <w:tcW w:w="31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États-Unis / UE — CCT, DPF (à confirmer)</w:t>
            </w:r>
          </w:p>
        </w:tc>
      </w:tr>
      <w:tr>
        <w:trPr/>
        <w:tc>
          <w:tcPr>
            <w:tcW w:w="24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Hébergeur du Site</w:t>
            </w:r>
          </w:p>
        </w:tc>
        <w:tc>
          <w:tcPr>
            <w:tcW w:w="35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Hébergement de la landing page</w:t>
            </w:r>
          </w:p>
        </w:tc>
        <w:tc>
          <w:tcPr>
            <w:tcW w:w="31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À confirmer (p. ex. Vercel — USA)</w:t>
            </w:r>
          </w:p>
        </w:tc>
      </w:tr>
      <w:tr>
        <w:trPr/>
        <w:tc>
          <w:tcPr>
            <w:tcW w:w="24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n8n (auto-hébergé)</w:t>
            </w:r>
          </w:p>
        </w:tc>
        <w:tc>
          <w:tcPr>
            <w:tcW w:w="35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Automatisation des workflows</w:t>
            </w:r>
          </w:p>
        </w:tc>
        <w:tc>
          <w:tcPr>
            <w:tcW w:w="31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 xml:space="preserve">VPS — </w:t>
            </w:r>
            <w:r>
              <w:rPr>
                <w:b w:val="false"/>
                <w:bCs w:val="false"/>
                <w:color w:val="000000"/>
                <w:sz w:val="20"/>
                <w:szCs w:val="20"/>
              </w:rPr>
              <w:t>France</w:t>
            </w:r>
          </w:p>
        </w:tc>
      </w:tr>
    </w:tbl>
    <w:p>
      <w:pPr>
        <w:pStyle w:val="Normal"/>
        <w:spacing w:before="120" w:after="0"/>
        <w:jc w:val="both"/>
        <w:rPr/>
      </w:pPr>
      <w:r>
        <w:rPr/>
        <w:t xml:space="preserve">La liste exhaustive et à jour des sous-traitants ultérieurs figure dans le DPA. </w:t>
      </w:r>
      <w:r>
        <w:rPr>
          <w:b/>
          <w:bCs/>
          <w:color w:val="C00000"/>
        </w:rPr>
        <w:t>[À COMPLÉTER : Vérifier pour chaque sous-traitant US la certification DPF et/ou la signature des CCT]</w:t>
      </w:r>
    </w:p>
    <w:p>
      <w:pPr>
        <w:pStyle w:val="Normal"/>
        <w:spacing w:before="0" w:after="160"/>
        <w:rPr/>
      </w:pPr>
      <w:r>
        <w:rPr>
          <w:i/>
          <w:iCs/>
          <w:color w:val="595959"/>
          <w:sz w:val="18"/>
          <w:szCs w:val="18"/>
        </w:rPr>
        <w:t>Référence : Règlement (UE) 2016/679, article 28.</w:t>
      </w:r>
    </w:p>
    <w:p>
      <w:pPr>
        <w:pStyle w:val="Heading2"/>
        <w:rPr/>
      </w:pPr>
      <w:bookmarkStart w:id="8" w:name="__RefHeading___Toc907_1339762769"/>
      <w:bookmarkEnd w:id="8"/>
      <w:r>
        <w:rPr/>
        <w:t>Article 7 — Transferts hors Union européenne</w:t>
      </w:r>
    </w:p>
    <w:p>
      <w:pPr>
        <w:pStyle w:val="Normal"/>
        <w:spacing w:lineRule="exact" w:line="276" w:before="0" w:after="120"/>
        <w:jc w:val="both"/>
        <w:rPr/>
      </w:pPr>
      <w:r>
        <w:rPr/>
        <w:t>Certains sous-traitants étant établis hors de l'Union européenne (notamment aux États-Unis), des transferts de données hors UE peuvent intervenir. Ces transferts sont encadrés par les garanties appropriées prévues par le RGPD : Clauses Contractuelles Types (CCT) de la Commission européenne et, le cas échéant, adhésion au cadre de protection des données UE–États-Unis (Data Privacy Framework).</w:t>
      </w:r>
    </w:p>
    <w:p>
      <w:pPr>
        <w:pStyle w:val="Normal"/>
        <w:spacing w:before="0" w:after="160"/>
        <w:rPr/>
      </w:pPr>
      <w:r>
        <w:rPr>
          <w:i/>
          <w:iCs/>
          <w:color w:val="595959"/>
          <w:sz w:val="18"/>
          <w:szCs w:val="18"/>
        </w:rPr>
        <w:t>Référence : Règlement (UE) 2016/679, articles 44 à 49.</w:t>
      </w:r>
    </w:p>
    <w:p>
      <w:pPr>
        <w:pStyle w:val="Heading2"/>
        <w:rPr/>
      </w:pPr>
      <w:bookmarkStart w:id="9" w:name="__RefHeading___Toc909_1339762769"/>
      <w:bookmarkEnd w:id="9"/>
      <w:r>
        <w:rPr/>
        <w:t>Article 8 — Durées de conservation</w:t>
      </w:r>
    </w:p>
    <w:tbl>
      <w:tblPr>
        <w:tblW w:w="9026" w:type="dxa"/>
        <w:jc w:val="left"/>
        <w:tblInd w:w="0" w:type="dxa"/>
        <w:tblLayout w:type="fixed"/>
        <w:tblCellMar>
          <w:top w:w="80" w:type="dxa"/>
          <w:left w:w="120" w:type="dxa"/>
          <w:bottom w:w="80" w:type="dxa"/>
          <w:right w:w="120" w:type="dxa"/>
        </w:tblCellMar>
      </w:tblPr>
      <w:tblGrid>
        <w:gridCol w:w="4599"/>
        <w:gridCol w:w="4426"/>
      </w:tblGrid>
      <w:tr>
        <w:trPr>
          <w:tblHeader w:val="true"/>
        </w:trPr>
        <w:tc>
          <w:tcPr>
            <w:tcW w:w="4599" w:type="dxa"/>
            <w:tcBorders>
              <w:top w:val="single" w:sz="2" w:space="0" w:color="BFBFBF"/>
              <w:left w:val="single" w:sz="2" w:space="0" w:color="BFBFBF"/>
              <w:bottom w:val="single" w:sz="2" w:space="0" w:color="BFBFBF"/>
              <w:right w:val="single" w:sz="2" w:space="0" w:color="BFBFBF"/>
            </w:tcBorders>
            <w:shd w:fill="1F3A5F" w:val="clear"/>
          </w:tcPr>
          <w:p>
            <w:pPr>
              <w:pStyle w:val="Normal"/>
              <w:rPr/>
            </w:pPr>
            <w:r>
              <w:rPr>
                <w:b/>
                <w:bCs/>
                <w:color w:val="FFFFFF"/>
                <w:sz w:val="20"/>
                <w:szCs w:val="20"/>
              </w:rPr>
              <w:t>Catégorie de données</w:t>
            </w:r>
          </w:p>
        </w:tc>
        <w:tc>
          <w:tcPr>
            <w:tcW w:w="4426" w:type="dxa"/>
            <w:tcBorders>
              <w:top w:val="single" w:sz="2" w:space="0" w:color="BFBFBF"/>
              <w:left w:val="single" w:sz="2" w:space="0" w:color="BFBFBF"/>
              <w:bottom w:val="single" w:sz="2" w:space="0" w:color="BFBFBF"/>
              <w:right w:val="single" w:sz="2" w:space="0" w:color="BFBFBF"/>
            </w:tcBorders>
            <w:shd w:fill="1F3A5F" w:val="clear"/>
          </w:tcPr>
          <w:p>
            <w:pPr>
              <w:pStyle w:val="Normal"/>
              <w:rPr/>
            </w:pPr>
            <w:r>
              <w:rPr>
                <w:b/>
                <w:bCs/>
                <w:color w:val="FFFFFF"/>
                <w:sz w:val="20"/>
                <w:szCs w:val="20"/>
              </w:rPr>
              <w:t>Durée (à valider)</w:t>
            </w:r>
          </w:p>
        </w:tc>
      </w:tr>
      <w:tr>
        <w:trPr/>
        <w:tc>
          <w:tcPr>
            <w:tcW w:w="4599"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Transcriptions d'appels</w:t>
            </w:r>
          </w:p>
        </w:tc>
        <w:tc>
          <w:tcPr>
            <w:tcW w:w="44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Le temps nécessaire à la restitution au Client, puis suppression — p. ex. 90 jours, sauf instruction contraire du Client</w:t>
            </w:r>
          </w:p>
        </w:tc>
      </w:tr>
      <w:tr>
        <w:trPr/>
        <w:tc>
          <w:tcPr>
            <w:tcW w:w="4599"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Métadonnées / journaux techniques</w:t>
            </w:r>
          </w:p>
        </w:tc>
        <w:tc>
          <w:tcPr>
            <w:tcW w:w="44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12 mois maximum</w:t>
            </w:r>
          </w:p>
        </w:tc>
      </w:tr>
      <w:tr>
        <w:trPr/>
        <w:tc>
          <w:tcPr>
            <w:tcW w:w="4599"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Données du compte Client</w:t>
            </w:r>
          </w:p>
        </w:tc>
        <w:tc>
          <w:tcPr>
            <w:tcW w:w="44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Durée du contrat + durée de prescription</w:t>
            </w:r>
          </w:p>
        </w:tc>
      </w:tr>
      <w:tr>
        <w:trPr/>
        <w:tc>
          <w:tcPr>
            <w:tcW w:w="4599"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Documents de facturation</w:t>
            </w:r>
          </w:p>
        </w:tc>
        <w:tc>
          <w:tcPr>
            <w:tcW w:w="44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10 ans (obligation comptable)</w:t>
            </w:r>
          </w:p>
        </w:tc>
      </w:tr>
      <w:tr>
        <w:trPr/>
        <w:tc>
          <w:tcPr>
            <w:tcW w:w="4599"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Données de prospection</w:t>
            </w:r>
          </w:p>
        </w:tc>
        <w:tc>
          <w:tcPr>
            <w:tcW w:w="4426"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3 ans à compter du dernier contact</w:t>
            </w:r>
          </w:p>
        </w:tc>
      </w:tr>
    </w:tbl>
    <w:p>
      <w:pPr>
        <w:pStyle w:val="Normal"/>
        <w:spacing w:before="0" w:after="160"/>
        <w:rPr/>
      </w:pPr>
      <w:r>
        <w:rPr>
          <w:i/>
          <w:iCs/>
          <w:color w:val="595959"/>
          <w:sz w:val="18"/>
          <w:szCs w:val="18"/>
        </w:rPr>
        <w:t>Référence : Article L123-22 du Code de commerce (10 ans) ; recommandations CNIL relatives aux durées de conservation.</w:t>
      </w:r>
    </w:p>
    <w:p>
      <w:pPr>
        <w:pStyle w:val="Heading2"/>
        <w:rPr/>
      </w:pPr>
      <w:bookmarkStart w:id="10" w:name="__RefHeading___Toc911_1339762769"/>
      <w:bookmarkEnd w:id="10"/>
      <w:r>
        <w:rPr/>
        <w:t>Article 9 — Sécurité</w:t>
      </w:r>
    </w:p>
    <w:p>
      <w:pPr>
        <w:pStyle w:val="Normal"/>
        <w:spacing w:lineRule="exact" w:line="276" w:before="0" w:after="120"/>
        <w:jc w:val="both"/>
        <w:rPr/>
      </w:pPr>
      <w:r>
        <w:rPr/>
        <w:t>SoftLine met en œuvre des mesures techniques et organisationnelles appropriées pour garantir la sécurité des données : chiffrement des communications (HTTPS/TLS), contrôle et limitation des accès, recours à des hébergeurs et prestataires offrant des garanties de sécurité, journalisation, minimisation des données collectées et absence d'enregistrement audio.</w:t>
      </w:r>
    </w:p>
    <w:p>
      <w:pPr>
        <w:pStyle w:val="Normal"/>
        <w:spacing w:before="0" w:after="160"/>
        <w:rPr/>
      </w:pPr>
      <w:r>
        <w:rPr>
          <w:i/>
          <w:iCs/>
          <w:color w:val="595959"/>
          <w:sz w:val="18"/>
          <w:szCs w:val="18"/>
        </w:rPr>
        <w:t>Référence : Règlement (UE) 2016/679, article 32.</w:t>
      </w:r>
    </w:p>
    <w:p>
      <w:pPr>
        <w:pStyle w:val="Heading2"/>
        <w:rPr/>
      </w:pPr>
      <w:bookmarkStart w:id="11" w:name="__RefHeading___Toc913_1339762769"/>
      <w:bookmarkEnd w:id="11"/>
      <w:r>
        <w:rPr/>
        <w:t>Article 10 — Droits des personnes concernées</w:t>
      </w:r>
    </w:p>
    <w:p>
      <w:pPr>
        <w:pStyle w:val="Normal"/>
        <w:spacing w:lineRule="exact" w:line="276" w:before="0" w:after="120"/>
        <w:jc w:val="both"/>
        <w:rPr/>
      </w:pPr>
      <w:r>
        <w:rPr/>
        <w:t>Toute personne concernée dispose des droits suivants : accès, rectification, effacement, limitation du traitement, opposition, portabilité, et retrait du consentement lorsque le traitement repose sur celui-ci.</w:t>
      </w:r>
    </w:p>
    <w:p>
      <w:pPr>
        <w:pStyle w:val="Normal"/>
        <w:spacing w:lineRule="exact" w:line="276" w:before="0" w:after="120"/>
        <w:jc w:val="both"/>
        <w:rPr/>
      </w:pPr>
      <w:r>
        <w:rPr/>
        <w:t>Lorsque la demande porte sur des données traitées par SoftLine pour le compte d'un Client (Appelants), elle est transmise au Client responsable de traitement ou traitée sur ses instructions.</w:t>
      </w:r>
    </w:p>
    <w:p>
      <w:pPr>
        <w:pStyle w:val="Normal"/>
        <w:spacing w:before="0" w:after="160"/>
        <w:rPr/>
      </w:pPr>
      <w:r>
        <w:rPr>
          <w:i/>
          <w:iCs/>
          <w:color w:val="595959"/>
          <w:sz w:val="18"/>
          <w:szCs w:val="18"/>
        </w:rPr>
        <w:t>Référence : Règlement (UE) 2016/679, articles 15 à 22.</w:t>
      </w:r>
    </w:p>
    <w:p>
      <w:pPr>
        <w:pStyle w:val="Heading2"/>
        <w:rPr/>
      </w:pPr>
      <w:bookmarkStart w:id="12" w:name="__RefHeading___Toc915_1339762769"/>
      <w:bookmarkEnd w:id="12"/>
      <w:r>
        <w:rPr/>
        <w:t>Article 11 — Exercice des droits</w:t>
      </w:r>
    </w:p>
    <w:p>
      <w:pPr>
        <w:pStyle w:val="Normal"/>
        <w:spacing w:lineRule="exact" w:line="276" w:before="0" w:after="120"/>
        <w:jc w:val="both"/>
        <w:rPr/>
      </w:pPr>
      <w:r>
        <w:rPr/>
        <w:t>Les droits s'exercent par e-mail à contact@softline-ia.fr. SoftLine répond dans un délai d'un (1) mois, prolongeable de deux (2) mois en cas de complexité. Une preuve d'identité peut être demandée en cas de doute raisonnable.</w:t>
      </w:r>
    </w:p>
    <w:p>
      <w:pPr>
        <w:pStyle w:val="Heading2"/>
        <w:rPr/>
      </w:pPr>
      <w:bookmarkStart w:id="13" w:name="__RefHeading___Toc917_1339762769"/>
      <w:bookmarkEnd w:id="13"/>
      <w:r>
        <w:rPr/>
        <w:t>Article 12 — Réclamation auprès de la CNIL</w:t>
      </w:r>
    </w:p>
    <w:p>
      <w:pPr>
        <w:pStyle w:val="Normal"/>
        <w:spacing w:lineRule="exact" w:line="276" w:before="0" w:after="120"/>
        <w:jc w:val="both"/>
        <w:rPr/>
      </w:pPr>
      <w:r>
        <w:rPr/>
        <w:t>Toute personne peut introduire une réclamation auprès de la Commission Nationale de l'Informatique et des Libertés (CNIL), 3 place de Fontenoy — TSA 80715 — 75334 Paris Cedex 07, ou via www.cnil.fr.</w:t>
      </w:r>
    </w:p>
    <w:p>
      <w:pPr>
        <w:pStyle w:val="Heading2"/>
        <w:rPr/>
      </w:pPr>
      <w:bookmarkStart w:id="14" w:name="__RefHeading___Toc919_1339762769"/>
      <w:bookmarkEnd w:id="14"/>
      <w:r>
        <w:rPr/>
        <w:t>Article 13 — Délégué à la protection des données (DPO)</w:t>
      </w:r>
    </w:p>
    <w:p>
      <w:pPr>
        <w:pStyle w:val="Normal"/>
        <w:spacing w:lineRule="exact" w:line="276" w:before="0" w:after="120"/>
        <w:jc w:val="both"/>
        <w:rPr/>
      </w:pPr>
      <w:r>
        <w:rPr/>
        <w:t xml:space="preserve">La désignation d'un DPO n'est pas obligatoire au regard de l'article 37 du RGPD dans la configuration actuelle. </w:t>
      </w:r>
      <w:r>
        <w:rPr>
          <w:b/>
          <w:bCs/>
          <w:color w:val="C00000"/>
        </w:rPr>
        <w:t>[À COMPLÉTER : Indiquer « aucun DPO désigné » ou les coordonnées du DPO le cas échéant]</w:t>
      </w:r>
      <w:r>
        <w:rPr/>
        <w:t>. Le point de contact pour les questions relatives aux données reste contact@softline-ia.fr.</w:t>
      </w:r>
    </w:p>
    <w:p>
      <w:pPr>
        <w:pStyle w:val="Normal"/>
        <w:spacing w:before="0" w:after="160"/>
        <w:rPr/>
      </w:pPr>
      <w:r>
        <w:rPr>
          <w:i/>
          <w:iCs/>
          <w:color w:val="595959"/>
          <w:sz w:val="18"/>
          <w:szCs w:val="18"/>
        </w:rPr>
        <w:t>Référence : Règlement (UE) 2016/679, article 37.</w:t>
      </w:r>
    </w:p>
    <w:p>
      <w:pPr>
        <w:pStyle w:val="Heading2"/>
        <w:rPr/>
      </w:pPr>
      <w:bookmarkStart w:id="15" w:name="__RefHeading___Toc921_1339762769"/>
      <w:bookmarkEnd w:id="15"/>
      <w:r>
        <w:rPr/>
        <w:t>Article 14 — Modification de la politique</w:t>
      </w:r>
    </w:p>
    <w:p>
      <w:pPr>
        <w:pStyle w:val="Normal"/>
        <w:spacing w:lineRule="exact" w:line="276" w:before="0" w:after="120"/>
        <w:jc w:val="both"/>
        <w:rPr/>
      </w:pPr>
      <w:r>
        <w:rPr/>
        <w:t>La présente politique peut être mise à jour. Toute modification substantielle est notifiée aux Clients par e-mail au moins quinze (15) jours avant son entrée en vigueur. La version applicable est celle publiée sur le Site à la date de consultation.</w:t>
      </w:r>
    </w:p>
    <w:p>
      <w:pPr>
        <w:pStyle w:val="Normal"/>
        <w:spacing w:before="320" w:after="0"/>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708" w:top="144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2" w:color="BFBFBF"/>
      </w:pBdr>
      <w:tabs>
        <w:tab w:val="clear" w:pos="720"/>
        <w:tab w:val="right" w:pos="9026" w:leader="none"/>
      </w:tabs>
      <w:rPr/>
    </w:pPr>
    <w:r>
      <w:rPr>
        <w:color w:val="808080"/>
        <w:sz w:val="16"/>
        <w:szCs w:val="16"/>
      </w:rPr>
      <w:t>v1.</w:t>
    </w:r>
    <w:r>
      <w:rPr>
        <w:color w:val="808080"/>
        <w:sz w:val="16"/>
        <w:szCs w:val="16"/>
      </w:rPr>
      <w:t>4</w:t>
    </w:r>
    <w:r>
      <w:rPr>
        <w:color w:val="808080"/>
        <w:sz w:val="16"/>
        <w:szCs w:val="16"/>
      </w:rPr>
      <w:t>— 15 juin 2026</w:t>
      <w:tab/>
      <w:t xml:space="preserve">Page </w:t>
    </w:r>
    <w:r>
      <w:rPr/>
      <w:fldChar w:fldCharType="begin"/>
    </w:r>
    <w:r>
      <w:rPr/>
      <w:instrText xml:space="preserve"> PAGE </w:instrText>
    </w:r>
    <w:r>
      <w:rPr/>
      <w:fldChar w:fldCharType="separate"/>
    </w:r>
    <w:r>
      <w:rPr/>
      <w:t>5</w:t>
    </w:r>
    <w:r>
      <w:rPr/>
      <w:fldChar w:fldCharType="end"/>
    </w:r>
    <w:r>
      <w:rPr>
        <w:color w:val="808080"/>
        <w:sz w:val="16"/>
        <w:szCs w:val="16"/>
      </w:rPr>
      <w:t xml:space="preserve"> / </w:t>
    </w:r>
    <w:r>
      <w:rPr/>
      <w:fldChar w:fldCharType="begin"/>
    </w:r>
    <w:r>
      <w:rPr/>
      <w:instrText xml:space="preserve"> NUMPAGES </w:instrText>
    </w:r>
    <w:r>
      <w:rPr/>
      <w:fldChar w:fldCharType="separate"/>
    </w:r>
    <w:r>
      <w:rPr/>
      <w:t>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2" w:color="BFBFBF"/>
      </w:pBdr>
      <w:tabs>
        <w:tab w:val="clear" w:pos="720"/>
        <w:tab w:val="right" w:pos="9026" w:leader="none"/>
      </w:tabs>
      <w:rPr/>
    </w:pPr>
    <w:r>
      <w:rPr>
        <w:color w:val="808080"/>
        <w:sz w:val="16"/>
        <w:szCs w:val="16"/>
      </w:rPr>
      <w:t>v1.</w:t>
    </w:r>
    <w:r>
      <w:rPr>
        <w:color w:val="808080"/>
        <w:sz w:val="16"/>
        <w:szCs w:val="16"/>
      </w:rPr>
      <w:t>4</w:t>
    </w:r>
    <w:r>
      <w:rPr>
        <w:color w:val="808080"/>
        <w:sz w:val="16"/>
        <w:szCs w:val="16"/>
      </w:rPr>
      <w:t>— 15 juin 2026</w:t>
      <w:tab/>
      <w:t xml:space="preserve">Page </w:t>
    </w:r>
    <w:r>
      <w:rPr/>
      <w:fldChar w:fldCharType="begin"/>
    </w:r>
    <w:r>
      <w:rPr/>
      <w:instrText xml:space="preserve"> PAGE </w:instrText>
    </w:r>
    <w:r>
      <w:rPr/>
      <w:fldChar w:fldCharType="separate"/>
    </w:r>
    <w:r>
      <w:rPr/>
      <w:t>5</w:t>
    </w:r>
    <w:r>
      <w:rPr/>
      <w:fldChar w:fldCharType="end"/>
    </w:r>
    <w:r>
      <w:rPr>
        <w:color w:val="808080"/>
        <w:sz w:val="16"/>
        <w:szCs w:val="16"/>
      </w:rPr>
      <w:t xml:space="preserve"> / </w:t>
    </w:r>
    <w:r>
      <w:rPr/>
      <w:fldChar w:fldCharType="begin"/>
    </w:r>
    <w:r>
      <w:rPr/>
      <w:instrText xml:space="preserve"> NUMPAGES </w:instrText>
    </w:r>
    <w:r>
      <w:rPr/>
      <w:fldChar w:fldCharType="separate"/>
    </w:r>
    <w:r>
      <w:rPr/>
      <w:t>5</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2" w:color="BFBFBF"/>
      </w:pBdr>
      <w:tabs>
        <w:tab w:val="clear" w:pos="720"/>
        <w:tab w:val="right" w:pos="9026" w:leader="none"/>
      </w:tabs>
      <w:rPr/>
    </w:pPr>
    <w:r>
      <w:rPr>
        <w:color w:val="808080"/>
        <w:sz w:val="16"/>
        <w:szCs w:val="16"/>
      </w:rPr>
      <w:t>SoftLine — Politique de confidentialité (RGPD)</w:t>
      <w:tab/>
      <w:t>softline-ia.fr</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2" w:color="BFBFBF"/>
      </w:pBdr>
      <w:tabs>
        <w:tab w:val="clear" w:pos="720"/>
        <w:tab w:val="right" w:pos="9026" w:leader="none"/>
      </w:tabs>
      <w:rPr/>
    </w:pPr>
    <w:r>
      <w:rPr>
        <w:color w:val="808080"/>
        <w:sz w:val="16"/>
        <w:szCs w:val="16"/>
      </w:rPr>
      <w:t>SoftLine — Politique de confidentialité (RGPD)</w:t>
      <w:tab/>
      <w:t>softline-ia.fr</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600" w:hanging="28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86"/>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r-FR" w:eastAsia="zh-CN" w:bidi="hi-IN"/>
      </w:rPr>
    </w:rPrDefault>
    <w:pPrDefault>
      <w:pPr>
        <w:suppressAutoHyphens w:val="true"/>
      </w:pPr>
    </w:pPrDefault>
  </w:docDefaults>
  <w:style w:type="paragraph" w:styleId="Normal">
    <w:name w:val="Normal"/>
    <w:qFormat/>
    <w:pPr>
      <w:widowControl/>
      <w:bidi w:val="0"/>
      <w:spacing w:before="0" w:after="0"/>
      <w:jc w:val="left"/>
    </w:pPr>
    <w:rPr>
      <w:rFonts w:ascii="Arial" w:hAnsi="Arial" w:eastAsia="Arial" w:cs="Arial"/>
      <w:color w:val="auto"/>
      <w:kern w:val="0"/>
      <w:sz w:val="22"/>
      <w:szCs w:val="22"/>
      <w:lang w:val="fr-FR" w:eastAsia="zh-CN" w:bidi="hi-IN"/>
    </w:rPr>
  </w:style>
  <w:style w:type="paragraph" w:styleId="Heading1">
    <w:name w:val="heading 1"/>
    <w:basedOn w:val="Titre"/>
    <w:qFormat/>
    <w:pPr>
      <w:spacing w:before="240" w:after="200"/>
      <w:outlineLvl w:val="0"/>
    </w:pPr>
    <w:rPr>
      <w:rFonts w:ascii="Arial" w:hAnsi="Arial" w:eastAsia="Arial" w:cs="Arial"/>
      <w:b/>
      <w:bCs/>
      <w:color w:val="1F3A5F"/>
      <w:sz w:val="32"/>
      <w:szCs w:val="32"/>
    </w:rPr>
  </w:style>
  <w:style w:type="paragraph" w:styleId="Heading2">
    <w:name w:val="heading 2"/>
    <w:basedOn w:val="Titre"/>
    <w:qFormat/>
    <w:pPr>
      <w:spacing w:before="280" w:after="120"/>
      <w:outlineLvl w:val="1"/>
    </w:pPr>
    <w:rPr>
      <w:rFonts w:ascii="Arial" w:hAnsi="Arial" w:eastAsia="Arial" w:cs="Arial"/>
      <w:b/>
      <w:bCs/>
      <w:color w:val="1F3A5F"/>
      <w:sz w:val="26"/>
      <w:szCs w:val="26"/>
    </w:rPr>
  </w:style>
  <w:style w:type="paragraph" w:styleId="Heading3">
    <w:name w:val="heading 3"/>
    <w:basedOn w:val="Titre"/>
    <w:qFormat/>
    <w:pPr>
      <w:spacing w:before="160" w:after="80"/>
      <w:outlineLvl w:val="2"/>
    </w:pPr>
    <w:rPr>
      <w:rFonts w:ascii="Arial" w:hAnsi="Arial" w:eastAsia="Arial" w:cs="Arial"/>
      <w:b/>
      <w:bCs/>
      <w:color w:val="2E5077"/>
      <w:sz w:val="23"/>
      <w:szCs w:val="23"/>
    </w:rPr>
  </w:style>
  <w:style w:type="paragraph" w:styleId="Heading4">
    <w:name w:val="heading 4"/>
    <w:basedOn w:val="Titre"/>
    <w:qFormat/>
    <w:pPr/>
    <w:rPr>
      <w:i/>
      <w:iCs/>
      <w:color w:val="2E74B5"/>
    </w:rPr>
  </w:style>
  <w:style w:type="paragraph" w:styleId="Heading5">
    <w:name w:val="heading 5"/>
    <w:basedOn w:val="Titre"/>
    <w:qFormat/>
    <w:pPr/>
    <w:rPr>
      <w:color w:val="2E74B5"/>
    </w:rPr>
  </w:style>
  <w:style w:type="paragraph" w:styleId="Heading6">
    <w:name w:val="heading 6"/>
    <w:basedOn w:val="Titre"/>
    <w:qFormat/>
    <w:pPr/>
    <w:rPr>
      <w:color w:val="1F4D78"/>
    </w:rPr>
  </w:style>
  <w:style w:type="character" w:styleId="InternetLink">
    <w:name w:val="Internet Link"/>
    <w:uiPriority w:val="99"/>
    <w:unhideWhenUsed/>
    <w:qFormat/>
    <w:rPr>
      <w:color w:val="0563C1"/>
      <w:u w:val="single"/>
    </w:rPr>
  </w:style>
  <w:style w:type="character" w:styleId="FootnoteReference">
    <w:name w:val="footnote reference"/>
    <w:rPr>
      <w:vertAlign w:val="superscript"/>
    </w:rPr>
  </w:style>
  <w:style w:type="character" w:styleId="FootnoteCharacters">
    <w:name w:val="Footnote Characters"/>
    <w:uiPriority w:val="99"/>
    <w:semiHidden/>
    <w:unhideWhenUsed/>
    <w:qFormat/>
    <w:rPr>
      <w:vertAlign w:val="superscript"/>
    </w:rPr>
  </w:style>
  <w:style w:type="character" w:styleId="FootnoteTextChar">
    <w:name w:val="Footnote Text Char"/>
    <w:uiPriority w:val="99"/>
    <w:semiHidden/>
    <w:unhideWhenUsed/>
    <w:qFormat/>
    <w:rPr>
      <w:sz w:val="20"/>
      <w:szCs w:val="20"/>
    </w:rPr>
  </w:style>
  <w:style w:type="character" w:styleId="EndnoteReference">
    <w:name w:val="endnote reference"/>
    <w:rPr>
      <w:vertAlign w:val="superscript"/>
    </w:rPr>
  </w:style>
  <w:style w:type="character" w:styleId="EndnoteCharacters">
    <w:name w:val="Endnote Characters"/>
    <w:uiPriority w:val="99"/>
    <w:semiHidden/>
    <w:unhideWhenUsed/>
    <w:qFormat/>
    <w:rPr>
      <w:vertAlign w:val="superscript"/>
    </w:rPr>
  </w:style>
  <w:style w:type="character" w:styleId="EndnoteTextChar">
    <w:name w:val="Endnote Text Char"/>
    <w:uiPriority w:val="99"/>
    <w:semiHidden/>
    <w:unhideWhenUsed/>
    <w:qFormat/>
    <w:rPr>
      <w:sz w:val="20"/>
      <w:szCs w:val="20"/>
    </w:rPr>
  </w:style>
  <w:style w:type="character" w:styleId="Hyperlink">
    <w:name w:val="Hyperlink"/>
    <w:rPr>
      <w:color w:val="000080"/>
      <w:u w:val="single"/>
    </w:rPr>
  </w:style>
  <w:style w:type="character" w:styleId="Sautdindex">
    <w:name w:val="Saut d'index"/>
    <w:qFormat/>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Titre"/>
    <w:qFormat/>
    <w:pPr/>
    <w:rPr>
      <w:sz w:val="56"/>
      <w:szCs w:val="56"/>
    </w:rPr>
  </w:style>
  <w:style w:type="paragraph" w:styleId="StrongEmphasis">
    <w:name w:val="Strong Emphasis"/>
    <w:qFormat/>
    <w:pPr>
      <w:widowControl/>
      <w:bidi w:val="0"/>
      <w:spacing w:before="0" w:after="0"/>
      <w:jc w:val="left"/>
    </w:pPr>
    <w:rPr>
      <w:rFonts w:ascii="Arial" w:hAnsi="Arial" w:eastAsia="Arial" w:cs="Arial"/>
      <w:b/>
      <w:bCs/>
      <w:color w:val="auto"/>
      <w:kern w:val="0"/>
      <w:sz w:val="22"/>
      <w:szCs w:val="22"/>
      <w:lang w:val="fr-FR" w:eastAsia="zh-CN" w:bidi="hi-IN"/>
    </w:rPr>
  </w:style>
  <w:style w:type="paragraph" w:styleId="ListParagraph">
    <w:name w:val="List Paragraph"/>
    <w:qFormat/>
    <w:pPr>
      <w:widowControl/>
      <w:bidi w:val="0"/>
      <w:spacing w:before="0" w:after="0"/>
      <w:jc w:val="left"/>
    </w:pPr>
    <w:rPr>
      <w:rFonts w:ascii="Arial" w:hAnsi="Arial" w:eastAsia="Arial" w:cs="Arial"/>
      <w:color w:val="auto"/>
      <w:kern w:val="0"/>
      <w:sz w:val="22"/>
      <w:szCs w:val="22"/>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En-tteetpieddepage">
    <w:name w:val="En-tête et pied de page"/>
    <w:basedOn w:val="Normal"/>
    <w:qFormat/>
    <w:pPr/>
    <w:rPr/>
  </w:style>
  <w:style w:type="paragraph" w:styleId="Header">
    <w:name w:val="header"/>
    <w:basedOn w:val="En-tteetpieddepage"/>
    <w:pPr/>
    <w:rPr/>
  </w:style>
  <w:style w:type="paragraph" w:styleId="Footer">
    <w:name w:val="footer"/>
    <w:basedOn w:val="En-tteetpieddepage"/>
    <w:pPr/>
    <w:rPr/>
  </w:style>
  <w:style w:type="paragraph" w:styleId="TOC1">
    <w:name w:val="toc 1"/>
    <w:basedOn w:val="Index"/>
    <w:pPr>
      <w:tabs>
        <w:tab w:val="clear" w:pos="720"/>
        <w:tab w:val="right" w:pos="9026" w:leader="dot"/>
      </w:tabs>
      <w:ind w:hanging="0" w:left="0"/>
    </w:pPr>
    <w:rPr/>
  </w:style>
  <w:style w:type="paragraph" w:styleId="TOC2">
    <w:name w:val="toc 2"/>
    <w:basedOn w:val="Index"/>
    <w:pPr>
      <w:tabs>
        <w:tab w:val="clear" w:pos="720"/>
        <w:tab w:val="right" w:pos="8743" w:leader="dot"/>
      </w:tabs>
      <w:ind w:hanging="0" w:left="283"/>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LibreOffice/24.8.0.3$Windows_X86_64 LibreOffice_project/0bdf1299c94fe897b119f97f3c613e9dca6be583</Application>
  <AppVersion>15.0000</AppVersion>
  <Pages>5</Pages>
  <Words>1390</Words>
  <Characters>7946</Characters>
  <CharactersWithSpaces>9252</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2026-06-15T13:47:08Z</dcterms:created>
  <dc:creator>Un-named</dc:creator>
  <dc:description/>
  <dc:language>fr-FR</dc:language>
  <cp:lastModifiedBy/>
  <dcterms:modified xsi:type="dcterms:W3CDTF">2026-06-15T19:03:42Z</dcterms:modified>
  <cp:revision>2</cp:revision>
  <dc:subject/>
  <dc:title/>
</cp:coreProperties>
</file>