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40"/>
        <w:jc w:val="center"/>
        <w:rPr/>
      </w:pPr>
      <w:r>
        <w:rPr>
          <w:b/>
          <w:bCs/>
          <w:color w:val="1F3A5F"/>
          <w:sz w:val="28"/>
          <w:szCs w:val="28"/>
        </w:rPr>
        <w:t>SOFTLINE</w:t>
      </w:r>
    </w:p>
    <w:p>
      <w:pPr>
        <w:pStyle w:val="Heading1"/>
        <w:jc w:val="center"/>
        <w:rPr/>
      </w:pPr>
      <w:bookmarkStart w:id="0" w:name="__RefHeading___Toc88_3107746204"/>
      <w:bookmarkEnd w:id="0"/>
      <w:r>
        <w:rPr/>
        <w:t>Contrat de sous-traitance (DPA)</w:t>
      </w:r>
    </w:p>
    <w:p>
      <w:pPr>
        <w:pStyle w:val="Normal"/>
        <w:spacing w:before="0" w:after="40"/>
        <w:jc w:val="center"/>
        <w:rPr/>
      </w:pPr>
      <w:r>
        <w:rPr>
          <w:i/>
          <w:iCs/>
          <w:color w:val="595959"/>
        </w:rPr>
        <w:t>Accord de traitement des données — article 28 du RGPD</w:t>
      </w:r>
    </w:p>
    <w:p>
      <w:pPr>
        <w:pStyle w:val="Normal"/>
        <w:spacing w:before="0" w:after="40"/>
        <w:jc w:val="center"/>
        <w:rPr/>
      </w:pPr>
      <w:r>
        <w:rPr>
          <w:sz w:val="20"/>
          <w:szCs w:val="20"/>
        </w:rPr>
        <w:t>Site : softline-ia.fr</w:t>
      </w:r>
    </w:p>
    <w:p>
      <w:pPr>
        <w:pStyle w:val="Normal"/>
        <w:spacing w:before="0" w:after="240"/>
        <w:jc w:val="center"/>
        <w:rPr/>
      </w:pPr>
      <w:r>
        <w:rPr>
          <w:color w:val="595959"/>
          <w:sz w:val="18"/>
          <w:szCs w:val="18"/>
        </w:rPr>
        <w:t>v1.</w:t>
      </w:r>
      <w:r>
        <w:rPr>
          <w:color w:val="595959"/>
          <w:sz w:val="18"/>
          <w:szCs w:val="18"/>
        </w:rPr>
        <w:t>5</w:t>
      </w:r>
      <w:r>
        <w:rPr>
          <w:color w:val="595959"/>
          <w:sz w:val="18"/>
          <w:szCs w:val="18"/>
        </w:rPr>
        <w:t>—  Dernière mise à jour : 1</w:t>
      </w:r>
      <w:r>
        <w:rPr>
          <w:color w:val="595959"/>
          <w:sz w:val="18"/>
          <w:szCs w:val="18"/>
        </w:rPr>
        <w:t>6</w:t>
      </w:r>
      <w:r>
        <w:rPr>
          <w:color w:val="595959"/>
          <w:sz w:val="18"/>
          <w:szCs w:val="18"/>
        </w:rPr>
        <w:t xml:space="preserve"> juin 2026</w:t>
      </w:r>
    </w:p>
    <w:p>
      <w:pPr>
        <w:pStyle w:val="Normal"/>
        <w:pBdr>
          <w:bottom w:val="single" w:sz="12" w:space="1" w:color="1F3A5F"/>
        </w:pBdr>
        <w:spacing w:before="0" w:after="240"/>
        <w:rPr/>
      </w:pPr>
      <w:r>
        <w:rPr/>
      </w:r>
    </w:p>
    <w:p>
      <w:pPr>
        <w:pStyle w:val="Heading2"/>
        <w:rPr/>
      </w:pPr>
      <w:bookmarkStart w:id="1" w:name="__RefHeading___Toc90_3107746204"/>
      <w:bookmarkEnd w:id="1"/>
      <w:r>
        <w:rPr/>
        <w:t>Sommaire</w:t>
      </w:r>
    </w:p>
    <w:sdt>
      <w:sdtPr>
        <w:docPartObj>
          <w:docPartGallery w:val="Table of Contents"/>
          <w:docPartUnique w:val="true"/>
        </w:docPartObj>
      </w:sdtPr>
      <w:sdtContent>
        <w:p>
          <w:pPr>
            <w:pStyle w:val="TOC1"/>
            <w:rPr/>
          </w:pPr>
          <w:r>
            <w:fldChar w:fldCharType="begin"/>
          </w:r>
          <w:r>
            <w:rPr>
              <w:rStyle w:val="Sautdindex"/>
            </w:rPr>
            <w:instrText xml:space="preserve"> TOC \o "1-2" \h</w:instrText>
          </w:r>
          <w:r>
            <w:rPr>
              <w:rStyle w:val="Sautdindex"/>
            </w:rPr>
            <w:fldChar w:fldCharType="separate"/>
          </w:r>
          <w:hyperlink w:anchor="__RefHeading___Toc88_3107746204">
            <w:r>
              <w:rPr>
                <w:rStyle w:val="Sautdindex"/>
              </w:rPr>
              <w:t>Contrat de sous-traitance (DPA)</w:t>
              <w:tab/>
              <w:t>1</w:t>
            </w:r>
          </w:hyperlink>
        </w:p>
        <w:p>
          <w:pPr>
            <w:pStyle w:val="TOC2"/>
            <w:tabs>
              <w:tab w:val="clear" w:pos="8743"/>
              <w:tab w:val="right" w:pos="9026" w:leader="dot"/>
            </w:tabs>
            <w:rPr/>
          </w:pPr>
          <w:hyperlink w:anchor="__RefHeading___Toc90_3107746204">
            <w:r>
              <w:rPr>
                <w:rStyle w:val="Sautdindex"/>
              </w:rPr>
              <w:t>Sommaire</w:t>
              <w:tab/>
              <w:t>1</w:t>
            </w:r>
          </w:hyperlink>
        </w:p>
        <w:p>
          <w:pPr>
            <w:pStyle w:val="TOC2"/>
            <w:tabs>
              <w:tab w:val="clear" w:pos="8743"/>
              <w:tab w:val="right" w:pos="9026" w:leader="dot"/>
            </w:tabs>
            <w:rPr/>
          </w:pPr>
          <w:hyperlink w:anchor="__RefHeading___Toc92_3107746204">
            <w:r>
              <w:rPr>
                <w:rStyle w:val="Sautdindex"/>
              </w:rPr>
              <w:t>Article 1 — Parties et objet</w:t>
              <w:tab/>
              <w:t>2</w:t>
            </w:r>
          </w:hyperlink>
        </w:p>
        <w:p>
          <w:pPr>
            <w:pStyle w:val="TOC2"/>
            <w:tabs>
              <w:tab w:val="clear" w:pos="8743"/>
              <w:tab w:val="right" w:pos="9026" w:leader="dot"/>
            </w:tabs>
            <w:rPr/>
          </w:pPr>
          <w:hyperlink w:anchor="__RefHeading___Toc94_3107746204">
            <w:r>
              <w:rPr>
                <w:rStyle w:val="Sautdindex"/>
              </w:rPr>
              <w:t>Article 2 — Description du traitement</w:t>
              <w:tab/>
              <w:t>2</w:t>
            </w:r>
          </w:hyperlink>
        </w:p>
        <w:p>
          <w:pPr>
            <w:pStyle w:val="TOC2"/>
            <w:tabs>
              <w:tab w:val="clear" w:pos="8743"/>
              <w:tab w:val="right" w:pos="9026" w:leader="dot"/>
            </w:tabs>
            <w:rPr/>
          </w:pPr>
          <w:hyperlink w:anchor="__RefHeading___Toc96_3107746204">
            <w:r>
              <w:rPr>
                <w:rStyle w:val="Sautdindex"/>
              </w:rPr>
              <w:t>Article 3 — Obligations du Sous-traitant</w:t>
              <w:tab/>
              <w:t>2</w:t>
            </w:r>
          </w:hyperlink>
        </w:p>
        <w:p>
          <w:pPr>
            <w:pStyle w:val="TOC2"/>
            <w:tabs>
              <w:tab w:val="clear" w:pos="8743"/>
              <w:tab w:val="right" w:pos="9026" w:leader="dot"/>
            </w:tabs>
            <w:rPr/>
          </w:pPr>
          <w:hyperlink w:anchor="__RefHeading___Toc98_3107746204">
            <w:r>
              <w:rPr>
                <w:rStyle w:val="Sautdindex"/>
              </w:rPr>
              <w:t>Article 4 — Sous-traitance ultérieure</w:t>
              <w:tab/>
              <w:t>2</w:t>
            </w:r>
          </w:hyperlink>
        </w:p>
        <w:p>
          <w:pPr>
            <w:pStyle w:val="TOC2"/>
            <w:tabs>
              <w:tab w:val="clear" w:pos="8743"/>
              <w:tab w:val="right" w:pos="9026" w:leader="dot"/>
            </w:tabs>
            <w:rPr/>
          </w:pPr>
          <w:hyperlink w:anchor="__RefHeading___Toc100_3107746204">
            <w:r>
              <w:rPr>
                <w:rStyle w:val="Sautdindex"/>
              </w:rPr>
              <w:t>Article 5 — Sécurité et violations de données</w:t>
              <w:tab/>
              <w:t>3</w:t>
            </w:r>
          </w:hyperlink>
        </w:p>
        <w:p>
          <w:pPr>
            <w:pStyle w:val="TOC2"/>
            <w:tabs>
              <w:tab w:val="clear" w:pos="8743"/>
              <w:tab w:val="right" w:pos="9026" w:leader="dot"/>
            </w:tabs>
            <w:rPr/>
          </w:pPr>
          <w:hyperlink w:anchor="__RefHeading___Toc102_3107746204">
            <w:r>
              <w:rPr>
                <w:rStyle w:val="Sautdindex"/>
              </w:rPr>
              <w:t>Article 6 — Transferts hors UE</w:t>
              <w:tab/>
              <w:t>3</w:t>
            </w:r>
          </w:hyperlink>
        </w:p>
        <w:p>
          <w:pPr>
            <w:pStyle w:val="TOC2"/>
            <w:tabs>
              <w:tab w:val="clear" w:pos="8743"/>
              <w:tab w:val="right" w:pos="9026" w:leader="dot"/>
            </w:tabs>
            <w:rPr/>
          </w:pPr>
          <w:hyperlink w:anchor="__RefHeading___Toc104_3107746204">
            <w:r>
              <w:rPr>
                <w:rStyle w:val="Sautdindex"/>
              </w:rPr>
              <w:t>Article 7 — Registre et coopération</w:t>
              <w:tab/>
              <w:t>3</w:t>
            </w:r>
          </w:hyperlink>
        </w:p>
        <w:p>
          <w:pPr>
            <w:pStyle w:val="TOC2"/>
            <w:tabs>
              <w:tab w:val="clear" w:pos="8743"/>
              <w:tab w:val="right" w:pos="9026" w:leader="dot"/>
            </w:tabs>
            <w:rPr/>
          </w:pPr>
          <w:hyperlink w:anchor="__RefHeading___Toc106_3107746204">
            <w:r>
              <w:rPr>
                <w:rStyle w:val="Sautdindex"/>
              </w:rPr>
              <w:t>Article 8 — Sort des données en fin de contrat</w:t>
              <w:tab/>
              <w:t>3</w:t>
            </w:r>
          </w:hyperlink>
        </w:p>
        <w:p>
          <w:pPr>
            <w:pStyle w:val="TOC2"/>
            <w:tabs>
              <w:tab w:val="clear" w:pos="8743"/>
              <w:tab w:val="right" w:pos="9026" w:leader="dot"/>
            </w:tabs>
            <w:rPr/>
          </w:pPr>
          <w:hyperlink w:anchor="__RefHeading___Toc108_3107746204">
            <w:r>
              <w:rPr>
                <w:rStyle w:val="Sautdindex"/>
              </w:rPr>
              <w:t>Article 9 — Responsabilité et durée</w:t>
              <w:tab/>
              <w:t>3</w:t>
            </w:r>
          </w:hyperlink>
          <w:r>
            <w:rPr>
              <w:rStyle w:val="Sautdindex"/>
            </w:rPr>
            <w:fldChar w:fldCharType="end"/>
          </w:r>
        </w:p>
      </w:sdtContent>
    </w:sdt>
    <w:p>
      <w:pPr>
        <w:pStyle w:val="Normal"/>
        <w:rPr/>
      </w:pPr>
      <w:r>
        <w:rPr/>
      </w:r>
    </w:p>
    <w:p>
      <w:pPr>
        <w:pStyle w:val="Normal"/>
        <w:spacing w:before="0" w:after="200"/>
        <w:rPr/>
      </w:pPr>
      <w:r>
        <w:rPr>
          <w:i/>
          <w:iCs/>
          <w:color w:val="808080"/>
          <w:sz w:val="18"/>
          <w:szCs w:val="18"/>
        </w:rPr>
        <w:t>(Dans Word : clic droit sur le sommaire → « Mettre à jour les champs » pour afficher les numéros de page.)</w:t>
      </w:r>
    </w:p>
    <w:p>
      <w:pPr>
        <w:pStyle w:val="Normal"/>
        <w:rPr/>
      </w:pPr>
      <w:r>
        <w:rPr/>
      </w:r>
      <w:r>
        <w:br w:type="page"/>
      </w:r>
    </w:p>
    <w:p>
      <w:pPr>
        <w:pStyle w:val="Heading2"/>
        <w:spacing w:before="0" w:after="120"/>
        <w:rPr/>
      </w:pPr>
      <w:bookmarkStart w:id="2" w:name="__RefHeading___Toc92_3107746204"/>
      <w:bookmarkEnd w:id="2"/>
      <w:r>
        <w:rPr/>
        <w:t>Article 1 — Parties et objet</w:t>
      </w:r>
    </w:p>
    <w:p>
      <w:pPr>
        <w:pStyle w:val="Normal"/>
        <w:spacing w:lineRule="exact" w:line="276" w:before="0" w:after="120"/>
        <w:jc w:val="both"/>
        <w:rPr/>
      </w:pPr>
      <w:r>
        <w:rPr/>
        <w:t>Le présent accord (« DPA ») complète les CGV et encadre le traitement des données à caractère personnel effectué par SoftLine (le « Sous-traitant ») pour le compte du Client (le « Responsable de traitement ») dans le cadre du Service d'assistant téléphonique IA.</w:t>
      </w:r>
    </w:p>
    <w:p>
      <w:pPr>
        <w:pStyle w:val="Normal"/>
        <w:spacing w:lineRule="exact" w:line="276" w:before="0" w:after="120"/>
        <w:jc w:val="both"/>
        <w:rPr/>
      </w:pPr>
      <w:r>
        <w:rPr>
          <w:b/>
          <w:bCs/>
        </w:rPr>
        <w:t xml:space="preserve">Responsable de traitement : </w:t>
      </w:r>
      <w:r>
        <w:rPr>
          <w:b/>
          <w:bCs/>
          <w:color w:val="C00000"/>
        </w:rPr>
        <w:t>[À COMPLÉTER : identité du Client]</w:t>
      </w:r>
    </w:p>
    <w:p>
      <w:pPr>
        <w:pStyle w:val="Normal"/>
        <w:spacing w:lineRule="exact" w:line="276" w:before="0" w:after="120"/>
        <w:jc w:val="both"/>
        <w:rPr/>
      </w:pPr>
      <w:r>
        <w:rPr>
          <w:b/>
          <w:bCs/>
        </w:rPr>
        <w:t xml:space="preserve">Sous-traitant : </w:t>
      </w:r>
      <w:r>
        <w:rPr>
          <w:b/>
          <w:bCs/>
          <w:color w:val="C00000"/>
        </w:rPr>
        <w:t>[À COMPLÉTER : identité de SoftLine]</w:t>
      </w:r>
    </w:p>
    <w:p>
      <w:pPr>
        <w:pStyle w:val="Normal"/>
        <w:spacing w:lineRule="exact" w:line="276" w:before="0" w:after="120"/>
        <w:jc w:val="both"/>
        <w:rPr/>
      </w:pPr>
      <w:r>
        <w:rPr/>
        <w:t>Le présent DPA prévaut sur les CGV pour tout ce qui concerne la protection des données personnelles.</w:t>
      </w:r>
    </w:p>
    <w:p>
      <w:pPr>
        <w:pStyle w:val="Normal"/>
        <w:spacing w:before="0" w:after="160"/>
        <w:rPr/>
      </w:pPr>
      <w:r>
        <w:rPr>
          <w:i/>
          <w:iCs/>
          <w:color w:val="595959"/>
          <w:sz w:val="18"/>
          <w:szCs w:val="18"/>
        </w:rPr>
        <w:t>Référence : Règlement (UE) 2016/679, article 28.3.</w:t>
      </w:r>
    </w:p>
    <w:p>
      <w:pPr>
        <w:pStyle w:val="Heading2"/>
        <w:rPr/>
      </w:pPr>
      <w:bookmarkStart w:id="3" w:name="__RefHeading___Toc94_3107746204"/>
      <w:bookmarkEnd w:id="3"/>
      <w:r>
        <w:rPr/>
        <w:t>Article 2 — Description du traitement</w:t>
      </w:r>
    </w:p>
    <w:p>
      <w:pPr>
        <w:pStyle w:val="ListParagraph"/>
        <w:numPr>
          <w:ilvl w:val="0"/>
          <w:numId w:val="3"/>
        </w:numPr>
        <w:spacing w:before="0" w:after="60"/>
        <w:jc w:val="both"/>
        <w:rPr/>
      </w:pPr>
      <w:r>
        <w:rPr>
          <w:b/>
          <w:bCs/>
        </w:rPr>
        <w:t xml:space="preserve">Nature et finalité : </w:t>
      </w:r>
      <w:r>
        <w:rPr/>
        <w:t>réception et qualification d'appels, transcription textuelle, prise de rendez-vous et restitution structurée au Client, pour le compte de ce dernier.</w:t>
      </w:r>
    </w:p>
    <w:p>
      <w:pPr>
        <w:pStyle w:val="ListParagraph"/>
        <w:numPr>
          <w:ilvl w:val="0"/>
          <w:numId w:val="1"/>
        </w:numPr>
        <w:spacing w:before="0" w:after="60"/>
        <w:jc w:val="both"/>
        <w:rPr/>
      </w:pPr>
      <w:r>
        <w:rPr>
          <w:b/>
          <w:bCs/>
        </w:rPr>
        <w:t xml:space="preserve">Durée : </w:t>
      </w:r>
      <w:r>
        <w:rPr/>
        <w:t>la durée du contrat de Service.</w:t>
      </w:r>
    </w:p>
    <w:p>
      <w:pPr>
        <w:pStyle w:val="ListParagraph"/>
        <w:numPr>
          <w:ilvl w:val="0"/>
          <w:numId w:val="1"/>
        </w:numPr>
        <w:spacing w:before="0" w:after="60"/>
        <w:jc w:val="both"/>
        <w:rPr/>
      </w:pPr>
      <w:r>
        <w:rPr>
          <w:b/>
          <w:bCs/>
        </w:rPr>
        <w:t xml:space="preserve">Catégories de personnes : </w:t>
      </w:r>
      <w:r>
        <w:rPr/>
        <w:t>les Appelants (clients, prospects et tiers contactant le Client).</w:t>
      </w:r>
    </w:p>
    <w:p>
      <w:pPr>
        <w:pStyle w:val="ListParagraph"/>
        <w:numPr>
          <w:ilvl w:val="0"/>
          <w:numId w:val="1"/>
        </w:numPr>
        <w:spacing w:before="0" w:after="60"/>
        <w:jc w:val="both"/>
        <w:rPr/>
      </w:pPr>
      <w:r>
        <w:rPr>
          <w:b/>
          <w:bCs/>
        </w:rPr>
        <w:t xml:space="preserve">Catégories de données : </w:t>
      </w:r>
      <w:r>
        <w:rPr/>
        <w:t>identité communiquée, numéro de l'appelant, motif d'appel, coordonnées éventuelles, créneau de rendez-vous, métadonnées techniques, transcription. Aucun enregistrement audio.</w:t>
      </w:r>
    </w:p>
    <w:p>
      <w:pPr>
        <w:pStyle w:val="ListParagraph"/>
        <w:numPr>
          <w:ilvl w:val="0"/>
          <w:numId w:val="1"/>
        </w:numPr>
        <w:spacing w:before="0" w:after="60"/>
        <w:jc w:val="both"/>
        <w:rPr/>
      </w:pPr>
      <w:r>
        <w:rPr>
          <w:b/>
          <w:bCs/>
        </w:rPr>
        <w:t xml:space="preserve">Données sensibles : </w:t>
      </w:r>
      <w:r>
        <w:rPr/>
        <w:t>le Service n'est pas destiné à traiter des données sensibles au sens de l'article 9 du RGPD ; le Client s'engage à ne pas en faire collecter par l'Agent.</w:t>
      </w:r>
    </w:p>
    <w:p>
      <w:pPr>
        <w:pStyle w:val="Heading2"/>
        <w:rPr/>
      </w:pPr>
      <w:bookmarkStart w:id="4" w:name="__RefHeading___Toc96_3107746204"/>
      <w:bookmarkEnd w:id="4"/>
      <w:r>
        <w:rPr/>
        <w:t>Article 3 — Obligations du Sous-traitant</w:t>
      </w:r>
    </w:p>
    <w:p>
      <w:pPr>
        <w:pStyle w:val="Normal"/>
        <w:spacing w:lineRule="exact" w:line="276" w:before="0" w:after="120"/>
        <w:jc w:val="both"/>
        <w:rPr/>
      </w:pPr>
      <w:r>
        <w:rPr/>
        <w:t>SoftLine, en sa qualité de sous-traitant, s'engage à :</w:t>
      </w:r>
    </w:p>
    <w:p>
      <w:pPr>
        <w:pStyle w:val="ListParagraph"/>
        <w:numPr>
          <w:ilvl w:val="0"/>
          <w:numId w:val="1"/>
        </w:numPr>
        <w:spacing w:before="0" w:after="60"/>
        <w:jc w:val="both"/>
        <w:rPr/>
      </w:pPr>
      <w:r>
        <w:rPr/>
        <w:t>traiter les données uniquement sur instructions documentées du Responsable de traitement, y compris pour les transferts hors UE ;</w:t>
      </w:r>
    </w:p>
    <w:p>
      <w:pPr>
        <w:pStyle w:val="ListParagraph"/>
        <w:numPr>
          <w:ilvl w:val="0"/>
          <w:numId w:val="1"/>
        </w:numPr>
        <w:spacing w:before="0" w:after="60"/>
        <w:jc w:val="both"/>
        <w:rPr/>
      </w:pPr>
      <w:r>
        <w:rPr/>
        <w:t>garantir la confidentialité et veiller à ce que les personnes autorisées à traiter les données s'y soient engagées ;</w:t>
      </w:r>
    </w:p>
    <w:p>
      <w:pPr>
        <w:pStyle w:val="ListParagraph"/>
        <w:numPr>
          <w:ilvl w:val="0"/>
          <w:numId w:val="1"/>
        </w:numPr>
        <w:spacing w:before="0" w:after="60"/>
        <w:jc w:val="both"/>
        <w:rPr/>
      </w:pPr>
      <w:r>
        <w:rPr/>
        <w:t>mettre en œuvre les mesures de sécurité appropriées prévues à l'article 32 du RGPD ;</w:t>
      </w:r>
    </w:p>
    <w:p>
      <w:pPr>
        <w:pStyle w:val="ListParagraph"/>
        <w:numPr>
          <w:ilvl w:val="0"/>
          <w:numId w:val="1"/>
        </w:numPr>
        <w:spacing w:before="0" w:after="60"/>
        <w:jc w:val="both"/>
        <w:rPr/>
      </w:pPr>
      <w:r>
        <w:rPr/>
        <w:t>respecter les conditions de recours à un sous-traitant ultérieur (article 4 ci-dessous) ;</w:t>
      </w:r>
    </w:p>
    <w:p>
      <w:pPr>
        <w:pStyle w:val="ListParagraph"/>
        <w:numPr>
          <w:ilvl w:val="0"/>
          <w:numId w:val="1"/>
        </w:numPr>
        <w:spacing w:before="0" w:after="60"/>
        <w:jc w:val="both"/>
        <w:rPr/>
      </w:pPr>
      <w:r>
        <w:rPr/>
        <w:t>aider le Responsable de traitement à répondre aux demandes d'exercice des droits des personnes ;</w:t>
      </w:r>
    </w:p>
    <w:p>
      <w:pPr>
        <w:pStyle w:val="ListParagraph"/>
        <w:numPr>
          <w:ilvl w:val="0"/>
          <w:numId w:val="1"/>
        </w:numPr>
        <w:spacing w:before="0" w:after="60"/>
        <w:jc w:val="both"/>
        <w:rPr/>
      </w:pPr>
      <w:r>
        <w:rPr/>
        <w:t>aider le Responsable de traitement à se conformer à ses obligations de sécurité, de notification de violation et d'analyse d'impact (articles 32 à 36) ;</w:t>
      </w:r>
    </w:p>
    <w:p>
      <w:pPr>
        <w:pStyle w:val="ListParagraph"/>
        <w:numPr>
          <w:ilvl w:val="0"/>
          <w:numId w:val="1"/>
        </w:numPr>
        <w:spacing w:before="0" w:after="60"/>
        <w:jc w:val="both"/>
        <w:rPr/>
      </w:pPr>
      <w:r>
        <w:rPr/>
        <w:t>au choix du Responsable de traitement, supprimer ou restituer les données au terme de la prestation, et détruire les copies existantes sauf obligation légale de conservation ;</w:t>
      </w:r>
    </w:p>
    <w:p>
      <w:pPr>
        <w:pStyle w:val="ListParagraph"/>
        <w:numPr>
          <w:ilvl w:val="0"/>
          <w:numId w:val="1"/>
        </w:numPr>
        <w:spacing w:before="0" w:after="60"/>
        <w:jc w:val="both"/>
        <w:rPr/>
      </w:pPr>
      <w:r>
        <w:rPr/>
        <w:t>mettre à disposition les informations nécessaires pour démontrer le respect de ses obligations et permettre la réalisation d'audits.</w:t>
      </w:r>
    </w:p>
    <w:p>
      <w:pPr>
        <w:pStyle w:val="Normal"/>
        <w:spacing w:before="0" w:after="160"/>
        <w:rPr/>
      </w:pPr>
      <w:r>
        <w:rPr>
          <w:i/>
          <w:iCs/>
          <w:color w:val="595959"/>
          <w:sz w:val="18"/>
          <w:szCs w:val="18"/>
        </w:rPr>
        <w:t>Référence : Règlement (UE) 2016/679, article 28.3 a) à h).</w:t>
      </w:r>
    </w:p>
    <w:p>
      <w:pPr>
        <w:pStyle w:val="Heading2"/>
        <w:rPr/>
      </w:pPr>
      <w:bookmarkStart w:id="5" w:name="__RefHeading___Toc98_3107746204"/>
      <w:bookmarkEnd w:id="5"/>
      <w:r>
        <w:rPr/>
        <w:t>Article 4 — Sous-traitance ultérieure</w:t>
      </w:r>
    </w:p>
    <w:p>
      <w:pPr>
        <w:pStyle w:val="Normal"/>
        <w:spacing w:lineRule="exact" w:line="276" w:before="0" w:after="120"/>
        <w:jc w:val="both"/>
        <w:rPr/>
      </w:pPr>
      <w:r>
        <w:rPr/>
        <w:t>Le Responsable de traitement autorise le recours aux sous-traitants ultérieurs listés dans la Politique de confidentialité (notamment Retell AI, Twilio, Stripe, Google, l'hébergeur du Site et l'outil d'automatisation). SoftLine impose à ces sous-traitants ultérieurs les mêmes obligations de protection des données que celles prévues au présent DPA et demeure responsable de leur exécution.</w:t>
      </w:r>
    </w:p>
    <w:p>
      <w:pPr>
        <w:pStyle w:val="Normal"/>
        <w:spacing w:lineRule="exact" w:line="276" w:before="0" w:after="120"/>
        <w:jc w:val="both"/>
        <w:rPr/>
      </w:pPr>
      <w:r>
        <w:rPr/>
        <w:t>SoftLine informe le Responsable de traitement de tout projet d'ajout ou de remplacement d'un sous-traitant ultérieur, lui laissant la possibilité d'émettre des objections.</w:t>
      </w:r>
    </w:p>
    <w:p>
      <w:pPr>
        <w:pStyle w:val="Normal"/>
        <w:spacing w:before="0" w:after="160"/>
        <w:rPr/>
      </w:pPr>
      <w:r>
        <w:rPr>
          <w:i/>
          <w:iCs/>
          <w:color w:val="595959"/>
          <w:sz w:val="18"/>
          <w:szCs w:val="18"/>
        </w:rPr>
        <w:t>Référence : Règlement (UE) 2016/679, article 28.2 et 28.4.</w:t>
      </w:r>
    </w:p>
    <w:p>
      <w:pPr>
        <w:pStyle w:val="Heading2"/>
        <w:rPr/>
      </w:pPr>
      <w:bookmarkStart w:id="6" w:name="__RefHeading___Toc100_3107746204"/>
      <w:bookmarkEnd w:id="6"/>
      <w:r>
        <w:rPr/>
        <w:t>Article 5 — Sécurité et violations de données</w:t>
      </w:r>
    </w:p>
    <w:p>
      <w:pPr>
        <w:pStyle w:val="Normal"/>
        <w:spacing w:lineRule="exact" w:line="276" w:before="0" w:after="120"/>
        <w:jc w:val="both"/>
        <w:rPr/>
      </w:pPr>
      <w:r>
        <w:rPr/>
        <w:t>SoftLine met en œuvre des mesures techniques et organisationnelles appropriées (chiffrement en transit, contrôle des accès, minimisation, absence d'enregistrement audio). En cas de violation de données affectant les données traitées pour le compte du Client, SoftLine notifie le Responsable de traitement dans les meilleurs délais après en avoir pris connaissance, et lui fournit les informations utiles.</w:t>
      </w:r>
    </w:p>
    <w:p>
      <w:pPr>
        <w:pStyle w:val="Normal"/>
        <w:spacing w:before="0" w:after="160"/>
        <w:rPr/>
      </w:pPr>
      <w:r>
        <w:rPr>
          <w:i/>
          <w:iCs/>
          <w:color w:val="595959"/>
          <w:sz w:val="18"/>
          <w:szCs w:val="18"/>
        </w:rPr>
        <w:t>Référence : Règlement (UE) 2016/679, articles 32 et 33.2.</w:t>
      </w:r>
    </w:p>
    <w:p>
      <w:pPr>
        <w:pStyle w:val="Heading2"/>
        <w:rPr/>
      </w:pPr>
      <w:bookmarkStart w:id="7" w:name="__RefHeading___Toc102_3107746204"/>
      <w:bookmarkEnd w:id="7"/>
      <w:r>
        <w:rPr/>
        <w:t>Article 6 — Transferts hors UE</w:t>
      </w:r>
    </w:p>
    <w:p>
      <w:pPr>
        <w:pStyle w:val="Normal"/>
        <w:spacing w:lineRule="exact" w:line="276" w:before="0" w:after="120"/>
        <w:jc w:val="both"/>
        <w:rPr/>
      </w:pPr>
      <w:r>
        <w:rPr/>
        <w:t>Tout transfert de données hors de l'Union européenne réalisé par un sous-traitant ultérieur est encadré par des garanties appropriées (Clauses Contractuelles Types, et le cas échéant Data Privacy Framework), conformément aux instructions du Responsable de traitement.</w:t>
      </w:r>
    </w:p>
    <w:p>
      <w:pPr>
        <w:pStyle w:val="Normal"/>
        <w:spacing w:before="0" w:after="160"/>
        <w:rPr/>
      </w:pPr>
      <w:r>
        <w:rPr>
          <w:i/>
          <w:iCs/>
          <w:color w:val="595959"/>
          <w:sz w:val="18"/>
          <w:szCs w:val="18"/>
        </w:rPr>
        <w:t>Référence : Règlement (UE) 2016/679, articles 44 à 49.</w:t>
      </w:r>
    </w:p>
    <w:p>
      <w:pPr>
        <w:pStyle w:val="Heading2"/>
        <w:rPr/>
      </w:pPr>
      <w:bookmarkStart w:id="8" w:name="__RefHeading___Toc104_3107746204"/>
      <w:bookmarkEnd w:id="8"/>
      <w:r>
        <w:rPr/>
        <w:t>Article 7 — Registre et coopération</w:t>
      </w:r>
    </w:p>
    <w:p>
      <w:pPr>
        <w:pStyle w:val="Normal"/>
        <w:spacing w:lineRule="exact" w:line="276" w:before="0" w:after="120"/>
        <w:jc w:val="both"/>
        <w:rPr/>
      </w:pPr>
      <w:r>
        <w:rPr/>
        <w:t>SoftLine tient un registre des catégories de traitements effectués pour le compte du Responsable de traitement et coopère avec l'autorité de contrôle compétente sur demande.</w:t>
      </w:r>
    </w:p>
    <w:p>
      <w:pPr>
        <w:pStyle w:val="Normal"/>
        <w:spacing w:before="0" w:after="160"/>
        <w:rPr/>
      </w:pPr>
      <w:r>
        <w:rPr>
          <w:i/>
          <w:iCs/>
          <w:color w:val="595959"/>
          <w:sz w:val="18"/>
          <w:szCs w:val="18"/>
        </w:rPr>
        <w:t>Référence : Règlement (UE) 2016/679, articles 30.2 et 31.</w:t>
      </w:r>
    </w:p>
    <w:p>
      <w:pPr>
        <w:pStyle w:val="Heading2"/>
        <w:rPr/>
      </w:pPr>
      <w:bookmarkStart w:id="9" w:name="__RefHeading___Toc106_3107746204"/>
      <w:bookmarkEnd w:id="9"/>
      <w:r>
        <w:rPr/>
        <w:t>Article 8 — Sort des données en fin de contrat</w:t>
      </w:r>
    </w:p>
    <w:p>
      <w:pPr>
        <w:pStyle w:val="Normal"/>
        <w:spacing w:lineRule="exact" w:line="276" w:before="0" w:after="120"/>
        <w:jc w:val="both"/>
        <w:rPr/>
      </w:pPr>
      <w:r>
        <w:rPr/>
        <w:t>Au terme de la prestation, SoftLine procède, selon le choix exprès du Responsable de traitement, à la suppression ou à la restitution de l'ensemble des données, et supprime les copies existantes, sauf obligation légale de conservation. Les transcriptions sont supprimées dans les délais prévus par la Politique de confidentialité.</w:t>
      </w:r>
    </w:p>
    <w:p>
      <w:pPr>
        <w:pStyle w:val="Heading2"/>
        <w:rPr/>
      </w:pPr>
      <w:bookmarkStart w:id="10" w:name="__RefHeading___Toc108_3107746204"/>
      <w:bookmarkEnd w:id="10"/>
      <w:r>
        <w:rPr/>
        <w:t>Article 9 — Responsabilité et durée</w:t>
      </w:r>
    </w:p>
    <w:p>
      <w:pPr>
        <w:pStyle w:val="Normal"/>
        <w:spacing w:lineRule="exact" w:line="276" w:before="0" w:after="120"/>
        <w:jc w:val="both"/>
        <w:rPr/>
      </w:pPr>
      <w:r>
        <w:rPr/>
        <w:t>Le présent DPA entre en vigueur à la date de souscription du Service et demeure applicable pendant toute la durée du traitement. Chaque partie répond des manquements qui lui sont imputables au titre du RGPD.</w:t>
      </w:r>
    </w:p>
    <w:tbl>
      <w:tblPr>
        <w:tblW w:w="9026" w:type="dxa"/>
        <w:jc w:val="left"/>
        <w:tblInd w:w="0" w:type="dxa"/>
        <w:tblLayout w:type="fixed"/>
        <w:tblCellMar>
          <w:top w:w="120" w:type="dxa"/>
          <w:left w:w="160" w:type="dxa"/>
          <w:bottom w:w="240" w:type="dxa"/>
          <w:right w:w="160" w:type="dxa"/>
        </w:tblCellMar>
      </w:tblPr>
      <w:tblGrid>
        <w:gridCol w:w="4513"/>
        <w:gridCol w:w="4512"/>
      </w:tblGrid>
      <w:tr>
        <w:trPr/>
        <w:tc>
          <w:tcPr>
            <w:tcW w:w="4513" w:type="dxa"/>
            <w:tcBorders>
              <w:top w:val="single" w:sz="2" w:space="0" w:color="BFBFBF"/>
              <w:left w:val="single" w:sz="2" w:space="0" w:color="BFBFBF"/>
              <w:bottom w:val="single" w:sz="2" w:space="0" w:color="BFBFBF"/>
              <w:right w:val="single" w:sz="2" w:space="0" w:color="BFBFBF"/>
            </w:tcBorders>
          </w:tcPr>
          <w:p>
            <w:pPr>
              <w:pStyle w:val="Normal"/>
              <w:spacing w:before="0" w:after="200"/>
              <w:rPr/>
            </w:pPr>
            <w:r>
              <w:rPr>
                <w:b/>
                <w:bCs/>
                <w:sz w:val="20"/>
                <w:szCs w:val="20"/>
              </w:rPr>
              <w:t>Le Prestataire (SoftLine)</w:t>
            </w:r>
          </w:p>
          <w:p>
            <w:pPr>
              <w:pStyle w:val="Normal"/>
              <w:spacing w:before="0" w:after="160"/>
              <w:rPr/>
            </w:pPr>
            <w:r>
              <w:rPr>
                <w:b w:val="false"/>
                <w:bCs w:val="false"/>
                <w:sz w:val="20"/>
                <w:szCs w:val="20"/>
              </w:rPr>
              <w:t>Nom et qualité : ____________________</w:t>
            </w:r>
          </w:p>
          <w:p>
            <w:pPr>
              <w:pStyle w:val="Normal"/>
              <w:spacing w:before="0" w:after="160"/>
              <w:rPr/>
            </w:pPr>
            <w:r>
              <w:rPr>
                <w:b w:val="false"/>
                <w:bCs w:val="false"/>
                <w:sz w:val="20"/>
                <w:szCs w:val="20"/>
              </w:rPr>
              <w:t>Date : ____________________</w:t>
            </w:r>
          </w:p>
          <w:p>
            <w:pPr>
              <w:pStyle w:val="Normal"/>
              <w:spacing w:before="0" w:after="160"/>
              <w:rPr/>
            </w:pPr>
            <w:r>
              <w:rPr>
                <w:b w:val="false"/>
                <w:bCs w:val="false"/>
                <w:sz w:val="20"/>
                <w:szCs w:val="20"/>
              </w:rPr>
              <w:t>Signature (cachet) :</w:t>
            </w:r>
          </w:p>
        </w:tc>
        <w:tc>
          <w:tcPr>
            <w:tcW w:w="4512" w:type="dxa"/>
            <w:tcBorders>
              <w:top w:val="single" w:sz="2" w:space="0" w:color="BFBFBF"/>
              <w:left w:val="single" w:sz="2" w:space="0" w:color="BFBFBF"/>
              <w:bottom w:val="single" w:sz="2" w:space="0" w:color="BFBFBF"/>
              <w:right w:val="single" w:sz="2" w:space="0" w:color="BFBFBF"/>
            </w:tcBorders>
          </w:tcPr>
          <w:p>
            <w:pPr>
              <w:pStyle w:val="Normal"/>
              <w:spacing w:before="0" w:after="200"/>
              <w:rPr/>
            </w:pPr>
            <w:r>
              <w:rPr>
                <w:b/>
                <w:bCs/>
                <w:sz w:val="20"/>
                <w:szCs w:val="20"/>
              </w:rPr>
              <w:t>Le Client</w:t>
            </w:r>
          </w:p>
          <w:p>
            <w:pPr>
              <w:pStyle w:val="Normal"/>
              <w:spacing w:before="0" w:after="160"/>
              <w:rPr/>
            </w:pPr>
            <w:r>
              <w:rPr>
                <w:b w:val="false"/>
                <w:bCs w:val="false"/>
                <w:sz w:val="20"/>
                <w:szCs w:val="20"/>
              </w:rPr>
              <w:t>Nom et qualité : ____________________</w:t>
            </w:r>
          </w:p>
          <w:p>
            <w:pPr>
              <w:pStyle w:val="Normal"/>
              <w:spacing w:before="0" w:after="160"/>
              <w:rPr/>
            </w:pPr>
            <w:r>
              <w:rPr>
                <w:b w:val="false"/>
                <w:bCs w:val="false"/>
                <w:sz w:val="20"/>
                <w:szCs w:val="20"/>
              </w:rPr>
              <w:t>Date : ____________________</w:t>
            </w:r>
          </w:p>
          <w:p>
            <w:pPr>
              <w:pStyle w:val="Normal"/>
              <w:spacing w:before="0" w:after="160"/>
              <w:rPr/>
            </w:pPr>
            <w:r>
              <w:rPr>
                <w:b w:val="false"/>
                <w:bCs w:val="false"/>
                <w:sz w:val="20"/>
                <w:szCs w:val="20"/>
              </w:rPr>
              <w:t>Signature :</w:t>
            </w:r>
          </w:p>
        </w:tc>
      </w:tr>
    </w:tbl>
    <w:p>
      <w:pPr>
        <w:pStyle w:val="Normal"/>
        <w:spacing w:before="320" w:after="0"/>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708" w:top="144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2" w:color="BFBFBF"/>
      </w:pBdr>
      <w:tabs>
        <w:tab w:val="clear" w:pos="720"/>
        <w:tab w:val="right" w:pos="9026" w:leader="none"/>
      </w:tabs>
      <w:rPr/>
    </w:pPr>
    <w:r>
      <w:rPr>
        <w:color w:val="808080"/>
        <w:sz w:val="16"/>
        <w:szCs w:val="16"/>
      </w:rPr>
      <w:t>v1.</w:t>
    </w:r>
    <w:r>
      <w:rPr>
        <w:color w:val="808080"/>
        <w:sz w:val="16"/>
        <w:szCs w:val="16"/>
      </w:rPr>
      <w:t>5</w:t>
    </w:r>
    <w:r>
      <w:rPr>
        <w:color w:val="808080"/>
        <w:sz w:val="16"/>
        <w:szCs w:val="16"/>
      </w:rPr>
      <w:t xml:space="preserve">— </w:t>
    </w:r>
    <w:r>
      <w:rPr>
        <w:color w:val="808080"/>
        <w:sz w:val="16"/>
        <w:szCs w:val="16"/>
      </w:rPr>
      <w:t>16</w:t>
    </w:r>
    <w:r>
      <w:rPr>
        <w:color w:val="808080"/>
        <w:sz w:val="16"/>
        <w:szCs w:val="16"/>
      </w:rPr>
      <w:t xml:space="preserve"> juin 2026</w:t>
      <w:tab/>
      <w:t xml:space="preserve">Page </w:t>
    </w:r>
    <w:r>
      <w:rPr/>
      <w:fldChar w:fldCharType="begin"/>
    </w:r>
    <w:r>
      <w:rPr/>
      <w:instrText xml:space="preserve"> PAGE </w:instrText>
    </w:r>
    <w:r>
      <w:rPr/>
      <w:fldChar w:fldCharType="separate"/>
    </w:r>
    <w:r>
      <w:rPr/>
      <w:t>3</w:t>
    </w:r>
    <w:r>
      <w:rPr/>
      <w:fldChar w:fldCharType="end"/>
    </w:r>
    <w:r>
      <w:rPr>
        <w:color w:val="808080"/>
        <w:sz w:val="16"/>
        <w:szCs w:val="16"/>
      </w:rPr>
      <w:t xml:space="preserve"> / </w:t>
    </w:r>
    <w:r>
      <w:rPr/>
      <w:fldChar w:fldCharType="begin"/>
    </w:r>
    <w:r>
      <w:rPr/>
      <w:instrText xml:space="preserve"> NUMPAGES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2" w:color="BFBFBF"/>
      </w:pBdr>
      <w:tabs>
        <w:tab w:val="clear" w:pos="720"/>
        <w:tab w:val="right" w:pos="9026" w:leader="none"/>
      </w:tabs>
      <w:rPr/>
    </w:pPr>
    <w:r>
      <w:rPr>
        <w:color w:val="808080"/>
        <w:sz w:val="16"/>
        <w:szCs w:val="16"/>
      </w:rPr>
      <w:t>v1.</w:t>
    </w:r>
    <w:r>
      <w:rPr>
        <w:color w:val="808080"/>
        <w:sz w:val="16"/>
        <w:szCs w:val="16"/>
      </w:rPr>
      <w:t>5</w:t>
    </w:r>
    <w:r>
      <w:rPr>
        <w:color w:val="808080"/>
        <w:sz w:val="16"/>
        <w:szCs w:val="16"/>
      </w:rPr>
      <w:t xml:space="preserve">— </w:t>
    </w:r>
    <w:r>
      <w:rPr>
        <w:color w:val="808080"/>
        <w:sz w:val="16"/>
        <w:szCs w:val="16"/>
      </w:rPr>
      <w:t>16</w:t>
    </w:r>
    <w:r>
      <w:rPr>
        <w:color w:val="808080"/>
        <w:sz w:val="16"/>
        <w:szCs w:val="16"/>
      </w:rPr>
      <w:t xml:space="preserve"> juin 2026</w:t>
      <w:tab/>
      <w:t xml:space="preserve">Page </w:t>
    </w:r>
    <w:r>
      <w:rPr/>
      <w:fldChar w:fldCharType="begin"/>
    </w:r>
    <w:r>
      <w:rPr/>
      <w:instrText xml:space="preserve"> PAGE </w:instrText>
    </w:r>
    <w:r>
      <w:rPr/>
      <w:fldChar w:fldCharType="separate"/>
    </w:r>
    <w:r>
      <w:rPr/>
      <w:t>3</w:t>
    </w:r>
    <w:r>
      <w:rPr/>
      <w:fldChar w:fldCharType="end"/>
    </w:r>
    <w:r>
      <w:rPr>
        <w:color w:val="808080"/>
        <w:sz w:val="16"/>
        <w:szCs w:val="16"/>
      </w:rPr>
      <w:t xml:space="preserve"> / </w:t>
    </w:r>
    <w:r>
      <w:rPr/>
      <w:fldChar w:fldCharType="begin"/>
    </w:r>
    <w:r>
      <w:rPr/>
      <w:instrText xml:space="preserve"> NUMPAGES </w:instrText>
    </w:r>
    <w:r>
      <w:rPr/>
      <w:fldChar w:fldCharType="separate"/>
    </w:r>
    <w:r>
      <w:rPr/>
      <w:t>3</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2" w:color="BFBFBF"/>
      </w:pBdr>
      <w:tabs>
        <w:tab w:val="clear" w:pos="720"/>
        <w:tab w:val="right" w:pos="9026" w:leader="none"/>
      </w:tabs>
      <w:rPr/>
    </w:pPr>
    <w:r>
      <w:rPr>
        <w:color w:val="808080"/>
        <w:sz w:val="16"/>
        <w:szCs w:val="16"/>
      </w:rPr>
      <w:t>SoftLine — DPA (art. 28 RGPD)</w:t>
      <w:tab/>
      <w:t>softline-ia.fr</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2" w:color="BFBFBF"/>
      </w:pBdr>
      <w:tabs>
        <w:tab w:val="clear" w:pos="720"/>
        <w:tab w:val="right" w:pos="9026" w:leader="none"/>
      </w:tabs>
      <w:rPr/>
    </w:pPr>
    <w:r>
      <w:rPr>
        <w:color w:val="808080"/>
        <w:sz w:val="16"/>
        <w:szCs w:val="16"/>
      </w:rPr>
      <w:t>SoftLine — DPA (art. 28 RGPD)</w:t>
      <w:tab/>
      <w:t>softline-ia.fr</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600" w:hanging="28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86"/>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r-FR" w:eastAsia="zh-CN" w:bidi="hi-IN"/>
      </w:rPr>
    </w:rPrDefault>
    <w:pPrDefault>
      <w:pPr>
        <w:suppressAutoHyphens w:val="true"/>
      </w:pPr>
    </w:pPrDefault>
  </w:docDefaults>
  <w:style w:type="paragraph" w:styleId="Normal">
    <w:name w:val="Normal"/>
    <w:qFormat/>
    <w:pPr>
      <w:widowControl/>
      <w:bidi w:val="0"/>
      <w:spacing w:before="0" w:after="0"/>
      <w:jc w:val="left"/>
    </w:pPr>
    <w:rPr>
      <w:rFonts w:ascii="Arial" w:hAnsi="Arial" w:eastAsia="Arial" w:cs="Arial"/>
      <w:color w:val="auto"/>
      <w:kern w:val="0"/>
      <w:sz w:val="22"/>
      <w:szCs w:val="22"/>
      <w:lang w:val="fr-FR" w:eastAsia="zh-CN" w:bidi="hi-IN"/>
    </w:rPr>
  </w:style>
  <w:style w:type="paragraph" w:styleId="Heading1">
    <w:name w:val="heading 1"/>
    <w:basedOn w:val="Titre"/>
    <w:qFormat/>
    <w:pPr>
      <w:spacing w:before="240" w:after="200"/>
      <w:outlineLvl w:val="0"/>
    </w:pPr>
    <w:rPr>
      <w:rFonts w:ascii="Arial" w:hAnsi="Arial" w:eastAsia="Arial" w:cs="Arial"/>
      <w:b/>
      <w:bCs/>
      <w:color w:val="1F3A5F"/>
      <w:sz w:val="32"/>
      <w:szCs w:val="32"/>
    </w:rPr>
  </w:style>
  <w:style w:type="paragraph" w:styleId="Heading2">
    <w:name w:val="heading 2"/>
    <w:basedOn w:val="Titre"/>
    <w:qFormat/>
    <w:pPr>
      <w:spacing w:before="280" w:after="120"/>
      <w:outlineLvl w:val="1"/>
    </w:pPr>
    <w:rPr>
      <w:rFonts w:ascii="Arial" w:hAnsi="Arial" w:eastAsia="Arial" w:cs="Arial"/>
      <w:b/>
      <w:bCs/>
      <w:color w:val="1F3A5F"/>
      <w:sz w:val="26"/>
      <w:szCs w:val="26"/>
    </w:rPr>
  </w:style>
  <w:style w:type="paragraph" w:styleId="Heading3">
    <w:name w:val="heading 3"/>
    <w:basedOn w:val="Titre"/>
    <w:qFormat/>
    <w:pPr>
      <w:spacing w:before="160" w:after="80"/>
      <w:outlineLvl w:val="2"/>
    </w:pPr>
    <w:rPr>
      <w:rFonts w:ascii="Arial" w:hAnsi="Arial" w:eastAsia="Arial" w:cs="Arial"/>
      <w:b/>
      <w:bCs/>
      <w:color w:val="2E5077"/>
      <w:sz w:val="23"/>
      <w:szCs w:val="23"/>
    </w:rPr>
  </w:style>
  <w:style w:type="paragraph" w:styleId="Heading4">
    <w:name w:val="heading 4"/>
    <w:basedOn w:val="Titre"/>
    <w:qFormat/>
    <w:pPr/>
    <w:rPr>
      <w:i/>
      <w:iCs/>
      <w:color w:val="2E74B5"/>
    </w:rPr>
  </w:style>
  <w:style w:type="paragraph" w:styleId="Heading5">
    <w:name w:val="heading 5"/>
    <w:basedOn w:val="Titre"/>
    <w:qFormat/>
    <w:pPr/>
    <w:rPr>
      <w:color w:val="2E74B5"/>
    </w:rPr>
  </w:style>
  <w:style w:type="paragraph" w:styleId="Heading6">
    <w:name w:val="heading 6"/>
    <w:basedOn w:val="Titre"/>
    <w:qFormat/>
    <w:pPr/>
    <w:rPr>
      <w:color w:val="1F4D78"/>
    </w:rPr>
  </w:style>
  <w:style w:type="character" w:styleId="InternetLink">
    <w:name w:val="Internet Link"/>
    <w:uiPriority w:val="99"/>
    <w:unhideWhenUsed/>
    <w:qFormat/>
    <w:rPr>
      <w:color w:val="0563C1"/>
      <w:u w:val="single"/>
    </w:rPr>
  </w:style>
  <w:style w:type="character" w:styleId="FootnoteReference">
    <w:name w:val="footnote reference"/>
    <w:rPr>
      <w:vertAlign w:val="superscript"/>
    </w:rPr>
  </w:style>
  <w:style w:type="character" w:styleId="FootnoteCharacters">
    <w:name w:val="Footnote Characters"/>
    <w:uiPriority w:val="99"/>
    <w:semiHidden/>
    <w:unhideWhenUsed/>
    <w:qFormat/>
    <w:rPr>
      <w:vertAlign w:val="superscript"/>
    </w:rPr>
  </w:style>
  <w:style w:type="character" w:styleId="FootnoteTextChar">
    <w:name w:val="Footnote Text Char"/>
    <w:uiPriority w:val="99"/>
    <w:semiHidden/>
    <w:unhideWhenUsed/>
    <w:qFormat/>
    <w:rPr>
      <w:sz w:val="20"/>
      <w:szCs w:val="20"/>
    </w:rPr>
  </w:style>
  <w:style w:type="character" w:styleId="EndnoteReference">
    <w:name w:val="endnote reference"/>
    <w:rPr>
      <w:vertAlign w:val="superscript"/>
    </w:rPr>
  </w:style>
  <w:style w:type="character" w:styleId="EndnoteCharacters">
    <w:name w:val="Endnote Characters"/>
    <w:uiPriority w:val="99"/>
    <w:semiHidden/>
    <w:unhideWhenUsed/>
    <w:qFormat/>
    <w:rPr>
      <w:vertAlign w:val="superscript"/>
    </w:rPr>
  </w:style>
  <w:style w:type="character" w:styleId="EndnoteTextChar">
    <w:name w:val="Endnote Text Char"/>
    <w:uiPriority w:val="99"/>
    <w:semiHidden/>
    <w:unhideWhenUsed/>
    <w:qFormat/>
    <w:rPr>
      <w:sz w:val="20"/>
      <w:szCs w:val="20"/>
    </w:rPr>
  </w:style>
  <w:style w:type="character" w:styleId="Hyperlink">
    <w:name w:val="Hyperlink"/>
    <w:rPr>
      <w:color w:val="000080"/>
      <w:u w:val="single"/>
    </w:rPr>
  </w:style>
  <w:style w:type="character" w:styleId="Sautdindex">
    <w:name w:val="Saut d'index"/>
    <w:qFormat/>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Titre"/>
    <w:qFormat/>
    <w:pPr/>
    <w:rPr>
      <w:sz w:val="56"/>
      <w:szCs w:val="56"/>
    </w:rPr>
  </w:style>
  <w:style w:type="paragraph" w:styleId="StrongEmphasis">
    <w:name w:val="Strong Emphasis"/>
    <w:qFormat/>
    <w:pPr>
      <w:widowControl/>
      <w:bidi w:val="0"/>
      <w:spacing w:before="0" w:after="0"/>
      <w:jc w:val="left"/>
    </w:pPr>
    <w:rPr>
      <w:rFonts w:ascii="Arial" w:hAnsi="Arial" w:eastAsia="Arial" w:cs="Arial"/>
      <w:b/>
      <w:bCs/>
      <w:color w:val="auto"/>
      <w:kern w:val="0"/>
      <w:sz w:val="22"/>
      <w:szCs w:val="22"/>
      <w:lang w:val="fr-FR" w:eastAsia="zh-CN" w:bidi="hi-IN"/>
    </w:rPr>
  </w:style>
  <w:style w:type="paragraph" w:styleId="ListParagraph">
    <w:name w:val="List Paragraph"/>
    <w:qFormat/>
    <w:pPr>
      <w:widowControl/>
      <w:bidi w:val="0"/>
      <w:spacing w:before="0" w:after="0"/>
      <w:jc w:val="left"/>
    </w:pPr>
    <w:rPr>
      <w:rFonts w:ascii="Arial" w:hAnsi="Arial" w:eastAsia="Arial" w:cs="Arial"/>
      <w:color w:val="auto"/>
      <w:kern w:val="0"/>
      <w:sz w:val="22"/>
      <w:szCs w:val="22"/>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En-tteetpieddepage">
    <w:name w:val="En-tête et pied de page"/>
    <w:basedOn w:val="Normal"/>
    <w:qFormat/>
    <w:pPr/>
    <w:rPr/>
  </w:style>
  <w:style w:type="paragraph" w:styleId="Header">
    <w:name w:val="header"/>
    <w:basedOn w:val="En-tteetpieddepage"/>
    <w:pPr/>
    <w:rPr/>
  </w:style>
  <w:style w:type="paragraph" w:styleId="Footer">
    <w:name w:val="footer"/>
    <w:basedOn w:val="En-tteetpieddepage"/>
    <w:pPr/>
    <w:rPr/>
  </w:style>
  <w:style w:type="paragraph" w:styleId="TOC1">
    <w:name w:val="toc 1"/>
    <w:basedOn w:val="Index"/>
    <w:pPr>
      <w:tabs>
        <w:tab w:val="clear" w:pos="720"/>
        <w:tab w:val="right" w:pos="9026" w:leader="dot"/>
      </w:tabs>
      <w:ind w:hanging="0" w:left="0"/>
    </w:pPr>
    <w:rPr/>
  </w:style>
  <w:style w:type="paragraph" w:styleId="TOC2">
    <w:name w:val="toc 2"/>
    <w:basedOn w:val="Index"/>
    <w:pPr>
      <w:tabs>
        <w:tab w:val="clear" w:pos="720"/>
        <w:tab w:val="right" w:pos="8743" w:leader="dot"/>
      </w:tabs>
      <w:ind w:hanging="0" w:left="283"/>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LibreOffice/24.8.0.3$Windows_X86_64 LibreOffice_project/0bdf1299c94fe897b119f97f3c613e9dca6be583</Application>
  <AppVersion>15.0000</AppVersion>
  <Pages>3</Pages>
  <Words>886</Words>
  <Characters>4899</Characters>
  <CharactersWithSpaces>5725</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2026-06-15T13:47:08Z</dcterms:created>
  <dc:creator>Un-named</dc:creator>
  <dc:description/>
  <dc:language>fr-FR</dc:language>
  <cp:lastModifiedBy/>
  <dcterms:modified xsi:type="dcterms:W3CDTF">2026-06-15T19:09:10Z</dcterms:modified>
  <cp:revision>2</cp:revision>
  <dc:subject/>
  <dc:title/>
</cp:coreProperties>
</file>